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0C" w:rsidRDefault="0073090C" w:rsidP="0073090C">
      <w:pPr>
        <w:spacing w:after="0"/>
        <w:jc w:val="center"/>
        <w:rPr>
          <w:b/>
        </w:rPr>
      </w:pPr>
      <w:bookmarkStart w:id="0" w:name="_GoBack"/>
      <w:bookmarkEnd w:id="0"/>
      <w:r>
        <w:rPr>
          <w:b/>
        </w:rPr>
        <w:t>COMISION DE AGUA POTABLE Y ALCANTARILLADO DE TAXCO</w:t>
      </w:r>
    </w:p>
    <w:p w:rsidR="00231BA3" w:rsidRPr="00A5075B" w:rsidRDefault="00B161D6" w:rsidP="00A5075B">
      <w:pPr>
        <w:spacing w:after="0"/>
        <w:jc w:val="center"/>
        <w:rPr>
          <w:b/>
        </w:rPr>
      </w:pPr>
      <w:r w:rsidRPr="00231BA3">
        <w:rPr>
          <w:b/>
        </w:rPr>
        <w:t>Notas</w:t>
      </w:r>
      <w:r w:rsidR="00231BA3">
        <w:rPr>
          <w:b/>
        </w:rPr>
        <w:t xml:space="preserve"> a los Estados F</w:t>
      </w:r>
      <w:r w:rsidR="000E1480" w:rsidRPr="00231BA3">
        <w:rPr>
          <w:b/>
        </w:rPr>
        <w:t>inancieros al 3</w:t>
      </w:r>
      <w:r w:rsidR="00A5075B">
        <w:rPr>
          <w:b/>
        </w:rPr>
        <w:t>1</w:t>
      </w:r>
      <w:r w:rsidR="00AB7744" w:rsidRPr="00231BA3">
        <w:rPr>
          <w:b/>
        </w:rPr>
        <w:t xml:space="preserve"> de </w:t>
      </w:r>
      <w:r w:rsidR="00A5075B">
        <w:rPr>
          <w:b/>
        </w:rPr>
        <w:t>Dicie</w:t>
      </w:r>
      <w:r w:rsidR="006F79EE">
        <w:rPr>
          <w:b/>
        </w:rPr>
        <w:t>mbre</w:t>
      </w:r>
      <w:r w:rsidR="0073090C">
        <w:rPr>
          <w:b/>
        </w:rPr>
        <w:t xml:space="preserve"> </w:t>
      </w:r>
      <w:r w:rsidR="009D5F28" w:rsidRPr="00231BA3">
        <w:rPr>
          <w:b/>
        </w:rPr>
        <w:t>del 201</w:t>
      </w:r>
      <w:r w:rsidR="0073090C">
        <w:rPr>
          <w:b/>
        </w:rPr>
        <w:t>8</w:t>
      </w:r>
      <w:r w:rsidR="0045763B">
        <w:t>.</w:t>
      </w:r>
    </w:p>
    <w:p w:rsidR="00231BA3" w:rsidRDefault="0073090C" w:rsidP="0073090C">
      <w:pPr>
        <w:jc w:val="center"/>
        <w:rPr>
          <w:b/>
        </w:rPr>
      </w:pPr>
      <w:r>
        <w:rPr>
          <w:b/>
        </w:rPr>
        <w:t>c) NOTAS DE GESTION ADMINISTRATIVA</w:t>
      </w:r>
    </w:p>
    <w:p w:rsidR="00B161D6" w:rsidRDefault="0073090C" w:rsidP="006E00BA">
      <w:pPr>
        <w:spacing w:after="0"/>
        <w:rPr>
          <w:b/>
        </w:rPr>
      </w:pPr>
      <w:r>
        <w:rPr>
          <w:b/>
        </w:rPr>
        <w:t>INTRODUCCION</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w:t>
      </w:r>
      <w:r w:rsidR="00144E1F">
        <w:rPr>
          <w:rFonts w:cs="Calibri"/>
        </w:rPr>
        <w:t>a los principales usuarios de los mismos</w:t>
      </w:r>
      <w:r w:rsidRPr="00E74967">
        <w:rPr>
          <w:rFonts w:cs="Calibri"/>
        </w:rPr>
        <w:t>, al Congreso y a los ciudadanos.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w:t>
      </w:r>
      <w:r w:rsidR="00144E1F">
        <w:rPr>
          <w:rFonts w:cs="Calibri"/>
        </w:rPr>
        <w:t>iera de cada período de gestión, además</w:t>
      </w:r>
      <w:r w:rsidRPr="00E74967">
        <w:rPr>
          <w:rFonts w:cs="Calibri"/>
        </w:rPr>
        <w:t xml:space="preserve"> de exponer aquellas políticas que podrían afectar la toma de decisiones en períodos posteriores.</w:t>
      </w:r>
    </w:p>
    <w:p w:rsidR="0073090C" w:rsidRDefault="0073090C" w:rsidP="006E00BA">
      <w:pPr>
        <w:spacing w:after="0"/>
        <w:rPr>
          <w:b/>
        </w:rPr>
      </w:pPr>
    </w:p>
    <w:p w:rsidR="0073090C" w:rsidRDefault="0073090C" w:rsidP="006E00BA">
      <w:pPr>
        <w:spacing w:after="0"/>
        <w:rPr>
          <w:b/>
        </w:rPr>
      </w:pPr>
      <w:r>
        <w:rPr>
          <w:b/>
        </w:rPr>
        <w:t>PANORAMA ECONOMICO FINANCIERO</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w:t>
      </w:r>
      <w:r w:rsidR="00363907">
        <w:rPr>
          <w:rFonts w:cs="Calibri"/>
        </w:rPr>
        <w:t xml:space="preserve"> ente público estuvo operando,</w:t>
      </w:r>
      <w:r w:rsidRPr="00E74967">
        <w:rPr>
          <w:rFonts w:cs="Calibri"/>
        </w:rPr>
        <w:t xml:space="preserve"> las cuales influyeron en la toma de </w:t>
      </w:r>
      <w:r w:rsidR="00B0682D">
        <w:rPr>
          <w:rFonts w:cs="Calibri"/>
        </w:rPr>
        <w:t>decisiones de la administración,</w:t>
      </w:r>
      <w:r w:rsidRPr="00E74967">
        <w:rPr>
          <w:rFonts w:cs="Calibri"/>
        </w:rPr>
        <w:t xml:space="preserve"> tanto a nivel local como federal.</w:t>
      </w:r>
    </w:p>
    <w:p w:rsidR="0073090C" w:rsidRDefault="0073090C" w:rsidP="006E00BA">
      <w:pPr>
        <w:spacing w:after="0"/>
        <w:rPr>
          <w:b/>
        </w:rPr>
      </w:pPr>
    </w:p>
    <w:p w:rsidR="006E00BA" w:rsidRDefault="006E00BA" w:rsidP="006E00BA">
      <w:pPr>
        <w:spacing w:after="0"/>
        <w:rPr>
          <w:b/>
        </w:rPr>
      </w:pPr>
      <w:r>
        <w:rPr>
          <w:b/>
        </w:rPr>
        <w:t>AUTORIZACION E HISTORIA</w:t>
      </w:r>
    </w:p>
    <w:p w:rsidR="0064070A" w:rsidRDefault="0064070A" w:rsidP="006E00BA">
      <w:pPr>
        <w:spacing w:after="0"/>
        <w:rPr>
          <w:b/>
        </w:rPr>
      </w:pPr>
    </w:p>
    <w:p w:rsidR="0064070A" w:rsidRDefault="00A45506" w:rsidP="0064070A">
      <w:pPr>
        <w:spacing w:after="0"/>
        <w:jc w:val="both"/>
      </w:pPr>
      <w:r>
        <w:rPr>
          <w:b/>
        </w:rPr>
        <w:t>a)</w:t>
      </w:r>
      <w:r>
        <w:t xml:space="preserve"> Fecha</w:t>
      </w:r>
      <w:r w:rsidR="0064070A">
        <w:t xml:space="preserve"> de </w:t>
      </w:r>
      <w:r>
        <w:t>Creación</w:t>
      </w:r>
      <w:r w:rsidR="0064070A">
        <w:t xml:space="preserve"> del ente.</w:t>
      </w:r>
    </w:p>
    <w:p w:rsidR="00B161D6" w:rsidRDefault="00B161D6" w:rsidP="0064070A">
      <w:pPr>
        <w:spacing w:after="0"/>
        <w:jc w:val="both"/>
      </w:pPr>
      <w:r>
        <w:t xml:space="preserve">La </w:t>
      </w:r>
      <w:r w:rsidR="002828E7">
        <w:t>Comisión</w:t>
      </w:r>
      <w:r>
        <w:t xml:space="preserve"> de Agua Potable y Alcantarillado de Taxco (CAPAT) es un Organismo </w:t>
      </w:r>
      <w:r w:rsidR="004070E8">
        <w:t>Público</w:t>
      </w:r>
      <w:r>
        <w:t xml:space="preserve"> Descentralizado </w:t>
      </w:r>
      <w:r w:rsidR="0064070A">
        <w:t xml:space="preserve">Paramunicipal </w:t>
      </w:r>
      <w:r>
        <w:t xml:space="preserve">creado mediante decreto oficial y </w:t>
      </w:r>
      <w:r w:rsidR="002828E7">
        <w:t>publicándose</w:t>
      </w:r>
      <w:r>
        <w:t xml:space="preserve"> por el Gobierno del Estado de Guerrero, el </w:t>
      </w:r>
      <w:r w:rsidR="002828E7">
        <w:t>día</w:t>
      </w:r>
      <w:r w:rsidR="0073090C">
        <w:t xml:space="preserve"> 28 de mayo de 1991 y se rige por la Ley de Aguas para el Estado Libre y S</w:t>
      </w:r>
      <w:r w:rsidR="00A93216">
        <w:t>oberano del Estado de Guerrero N</w:t>
      </w:r>
      <w:r w:rsidR="0073090C">
        <w:t>o.</w:t>
      </w:r>
      <w:r w:rsidR="00A93216">
        <w:t xml:space="preserve"> </w:t>
      </w:r>
      <w:r w:rsidR="0073090C">
        <w:t>574</w:t>
      </w:r>
      <w:r w:rsidR="009C73B9">
        <w:t xml:space="preserve">, </w:t>
      </w:r>
      <w:r w:rsidR="0064070A">
        <w:t>con personalidad jurídica y patrimonio propio, mismo que inicio sus labores el 28 de Mayo de 1991.</w:t>
      </w:r>
    </w:p>
    <w:p w:rsidR="00A45506" w:rsidRDefault="00A45506" w:rsidP="0064070A">
      <w:pPr>
        <w:spacing w:after="0"/>
        <w:jc w:val="both"/>
      </w:pPr>
      <w:r>
        <w:rPr>
          <w:b/>
        </w:rPr>
        <w:t>b)</w:t>
      </w:r>
      <w:r>
        <w:t xml:space="preserve"> Principales Cambios en su estructura.</w:t>
      </w:r>
    </w:p>
    <w:p w:rsidR="00A45506" w:rsidRDefault="00A45506" w:rsidP="005C472B">
      <w:pPr>
        <w:pStyle w:val="Sinespaciado"/>
      </w:pPr>
      <w:r>
        <w:t xml:space="preserve">La </w:t>
      </w:r>
      <w:r w:rsidR="008E72F0">
        <w:t>Comisión</w:t>
      </w:r>
      <w:r>
        <w:t xml:space="preserve"> de Agua Potable y Alcantarillado de Taxco, </w:t>
      </w:r>
      <w:r w:rsidR="005C472B">
        <w:t xml:space="preserve">se compone de la siguiente estructura </w:t>
      </w:r>
      <w:r w:rsidR="008E72F0">
        <w:t>orgánica</w:t>
      </w:r>
      <w:r w:rsidR="005C472B">
        <w:t>:</w:t>
      </w:r>
    </w:p>
    <w:p w:rsidR="005C472B" w:rsidRDefault="005C472B" w:rsidP="005C472B">
      <w:pPr>
        <w:pStyle w:val="Sinespaciado"/>
        <w:numPr>
          <w:ilvl w:val="0"/>
          <w:numId w:val="3"/>
        </w:numPr>
      </w:pPr>
      <w:r>
        <w:t xml:space="preserve">Consejo de </w:t>
      </w:r>
      <w:r w:rsidR="008E72F0">
        <w:t>Administración</w:t>
      </w:r>
      <w:r>
        <w:t>.</w:t>
      </w:r>
    </w:p>
    <w:p w:rsidR="005C472B" w:rsidRDefault="008E72F0" w:rsidP="005C472B">
      <w:pPr>
        <w:pStyle w:val="Sinespaciado"/>
        <w:numPr>
          <w:ilvl w:val="0"/>
          <w:numId w:val="3"/>
        </w:numPr>
      </w:pPr>
      <w:r>
        <w:t>Dirección</w:t>
      </w:r>
      <w:r w:rsidR="005C472B">
        <w:t>.</w:t>
      </w:r>
    </w:p>
    <w:p w:rsidR="005C472B" w:rsidRDefault="008E72F0" w:rsidP="005C472B">
      <w:pPr>
        <w:pStyle w:val="Sinespaciado"/>
        <w:numPr>
          <w:ilvl w:val="0"/>
          <w:numId w:val="3"/>
        </w:numPr>
      </w:pPr>
      <w:r>
        <w:t>Subdirección</w:t>
      </w:r>
      <w:r w:rsidR="005C472B">
        <w:t xml:space="preserve"> Administrativa y de Finanzas</w:t>
      </w:r>
      <w:r w:rsidR="0016673A">
        <w:t>.</w:t>
      </w:r>
    </w:p>
    <w:p w:rsidR="0016673A" w:rsidRDefault="008E72F0" w:rsidP="005C472B">
      <w:pPr>
        <w:pStyle w:val="Sinespaciado"/>
        <w:numPr>
          <w:ilvl w:val="0"/>
          <w:numId w:val="3"/>
        </w:numPr>
      </w:pPr>
      <w:r>
        <w:t>Contraloría</w:t>
      </w:r>
      <w:r w:rsidR="005D12BC">
        <w:t xml:space="preserve"> Interna</w:t>
      </w:r>
    </w:p>
    <w:p w:rsidR="005D12BC" w:rsidRDefault="005D12BC" w:rsidP="005C472B">
      <w:pPr>
        <w:pStyle w:val="Sinespaciado"/>
        <w:numPr>
          <w:ilvl w:val="0"/>
          <w:numId w:val="3"/>
        </w:numPr>
      </w:pPr>
      <w:r>
        <w:t>Encargados de Departamentos</w:t>
      </w:r>
    </w:p>
    <w:p w:rsidR="005D12BC" w:rsidRDefault="005D12BC" w:rsidP="005D12BC">
      <w:pPr>
        <w:pStyle w:val="Sinespaciado"/>
      </w:pPr>
    </w:p>
    <w:p w:rsidR="005D12BC" w:rsidRDefault="005D12BC" w:rsidP="005D12BC">
      <w:pPr>
        <w:spacing w:after="0"/>
        <w:rPr>
          <w:b/>
        </w:rPr>
      </w:pPr>
      <w:r>
        <w:rPr>
          <w:b/>
        </w:rPr>
        <w:lastRenderedPageBreak/>
        <w:t>ORGANIZACIÓN Y OBJETO SOCIAL</w:t>
      </w:r>
    </w:p>
    <w:p w:rsidR="005D12BC" w:rsidRPr="00A45506" w:rsidRDefault="005D12BC" w:rsidP="005D12BC">
      <w:pPr>
        <w:pStyle w:val="Sinespaciado"/>
      </w:pPr>
    </w:p>
    <w:p w:rsidR="005D12BC" w:rsidRDefault="005D12BC" w:rsidP="005D12BC">
      <w:pPr>
        <w:spacing w:after="0"/>
        <w:jc w:val="both"/>
      </w:pPr>
      <w:r>
        <w:t xml:space="preserve">La Comisión de Agua Potable y Alcantarillado de Taxco es un Organismo Público Descentralizado </w:t>
      </w:r>
      <w:r w:rsidR="006F6FDE">
        <w:t>Paramunicipal</w:t>
      </w:r>
      <w:r>
        <w:t xml:space="preserve"> el cual </w:t>
      </w:r>
      <w:r w:rsidR="00542FA3">
        <w:t xml:space="preserve">tiene personalidad y patrimonio propio, El Consejo de </w:t>
      </w:r>
      <w:r w:rsidR="006F6FDE">
        <w:t>Administración</w:t>
      </w:r>
      <w:r w:rsidR="00542FA3">
        <w:t xml:space="preserve"> delega en el Director la representación legal, </w:t>
      </w:r>
      <w:r w:rsidR="006F6FDE">
        <w:t>así</w:t>
      </w:r>
      <w:r w:rsidR="00542FA3">
        <w:t xml:space="preserve"> mismo se encarga de </w:t>
      </w:r>
      <w:r w:rsidR="006F6FDE">
        <w:t>establecer</w:t>
      </w:r>
      <w:r w:rsidR="00542FA3">
        <w:t xml:space="preserve"> los lineamientos y políticas para la prestación del servicio</w:t>
      </w:r>
      <w:r w:rsidR="006F6FDE">
        <w:t xml:space="preserve"> de suministro de agua potable.</w:t>
      </w:r>
      <w:r w:rsidR="00542FA3">
        <w:t xml:space="preserve"> </w:t>
      </w:r>
      <w:r w:rsidR="006A5EC1">
        <w:t>De igual modo,</w:t>
      </w:r>
      <w:r w:rsidR="00542FA3">
        <w:t xml:space="preserve"> la </w:t>
      </w:r>
      <w:r w:rsidR="006F6FDE">
        <w:t>Comisión</w:t>
      </w:r>
      <w:r w:rsidR="00542FA3">
        <w:t xml:space="preserve"> de Agua Potable y Alcantarillado de Taxco </w:t>
      </w:r>
      <w:r>
        <w:t xml:space="preserve">recauda sus propios ingresos y por consiguiente su director </w:t>
      </w:r>
      <w:r w:rsidR="00542FA3">
        <w:t xml:space="preserve">toma decisiones </w:t>
      </w:r>
      <w:r>
        <w:t>propias en lo que respecta al cumplimiento de sus diferentes erogaciones y al oportuno pago de sus compromisos</w:t>
      </w:r>
      <w:r w:rsidR="00542FA3">
        <w:t>.</w:t>
      </w:r>
    </w:p>
    <w:p w:rsidR="00B74DC9" w:rsidRDefault="00B74DC9" w:rsidP="005D12BC">
      <w:pPr>
        <w:spacing w:after="0"/>
        <w:jc w:val="both"/>
      </w:pPr>
    </w:p>
    <w:p w:rsidR="00B74DC9" w:rsidRDefault="00B74DC9" w:rsidP="005D12BC">
      <w:pPr>
        <w:spacing w:after="0"/>
        <w:jc w:val="both"/>
      </w:pPr>
      <w:r>
        <w:t xml:space="preserve">Su principal actividad es la prestación de servicio de suministro de agua potable a la cabecera municipal, para lo cual el proceso de este servicio es muy complejo, desde la captación del </w:t>
      </w:r>
      <w:r w:rsidR="00CF7C9F">
        <w:t>líquido</w:t>
      </w:r>
      <w:r>
        <w:t xml:space="preserve"> en la co</w:t>
      </w:r>
      <w:r w:rsidR="000B4625">
        <w:t xml:space="preserve">munidad de </w:t>
      </w:r>
      <w:proofErr w:type="spellStart"/>
      <w:r w:rsidR="000B4625">
        <w:t>Chontalcoatlan</w:t>
      </w:r>
      <w:proofErr w:type="spellEnd"/>
      <w:r w:rsidR="000B4625">
        <w:t>, m</w:t>
      </w:r>
      <w:r>
        <w:t xml:space="preserve">anantiales en las partes altas de la ciudad, </w:t>
      </w:r>
      <w:r w:rsidR="00284C7F">
        <w:t>p</w:t>
      </w:r>
      <w:r w:rsidR="00CF7C9F">
        <w:t>otabilización</w:t>
      </w:r>
      <w:r w:rsidR="00284C7F">
        <w:t xml:space="preserve"> del agua en la planta p</w:t>
      </w:r>
      <w:r>
        <w:t xml:space="preserve">otabilizadora y la </w:t>
      </w:r>
      <w:r w:rsidR="00284C7F">
        <w:t>d</w:t>
      </w:r>
      <w:r w:rsidR="00CF7C9F">
        <w:t>istribución</w:t>
      </w:r>
      <w:r>
        <w:t xml:space="preserve"> del agua a toda la ciudad. </w:t>
      </w:r>
    </w:p>
    <w:p w:rsidR="00B74DC9" w:rsidRDefault="00B74DC9" w:rsidP="005D12BC">
      <w:pPr>
        <w:spacing w:after="0"/>
        <w:jc w:val="both"/>
      </w:pPr>
    </w:p>
    <w:p w:rsidR="00B74DC9" w:rsidRDefault="00B74DC9" w:rsidP="005D12BC">
      <w:pPr>
        <w:spacing w:after="0"/>
        <w:jc w:val="both"/>
      </w:pPr>
      <w:r>
        <w:t>La información financiera se</w:t>
      </w:r>
      <w:r w:rsidRPr="00231BA3">
        <w:t xml:space="preserve"> integra </w:t>
      </w:r>
      <w:r>
        <w:t xml:space="preserve">por Ejercicio Fiscal </w:t>
      </w:r>
      <w:r w:rsidRPr="00231BA3">
        <w:t xml:space="preserve">anual comprendido  del 1º. De </w:t>
      </w:r>
      <w:r>
        <w:t>E</w:t>
      </w:r>
      <w:r w:rsidRPr="00231BA3">
        <w:t xml:space="preserve">nero al 31 de Diciembre </w:t>
      </w:r>
      <w:r>
        <w:t>del 2018.</w:t>
      </w:r>
    </w:p>
    <w:p w:rsidR="00B74DC9" w:rsidRDefault="00B74DC9" w:rsidP="005D12BC">
      <w:pPr>
        <w:spacing w:after="0"/>
        <w:jc w:val="both"/>
      </w:pPr>
    </w:p>
    <w:p w:rsidR="00B74DC9" w:rsidRDefault="00D21467" w:rsidP="005D12BC">
      <w:pPr>
        <w:spacing w:after="0"/>
        <w:jc w:val="both"/>
      </w:pPr>
      <w:r>
        <w:t>Está r</w:t>
      </w:r>
      <w:r w:rsidR="00CF7C9F">
        <w:t>egistrada ante en Padrón de Contribuyentes como “Comisión de Agua Potable y Alcantarillado de Taxco” en el Régimen de Personas Morales con Fines no Lucrativos.</w:t>
      </w:r>
    </w:p>
    <w:p w:rsidR="00CF7C9F" w:rsidRDefault="00CF7C9F" w:rsidP="005D12BC">
      <w:pPr>
        <w:spacing w:after="0"/>
        <w:jc w:val="both"/>
      </w:pPr>
    </w:p>
    <w:p w:rsidR="00CF7C9F" w:rsidRDefault="00CF7C9F" w:rsidP="00CF7C9F">
      <w:pPr>
        <w:spacing w:after="0"/>
        <w:rPr>
          <w:b/>
        </w:rPr>
      </w:pPr>
      <w:r>
        <w:rPr>
          <w:b/>
        </w:rPr>
        <w:t>BASES DE PREPARACION DE LOS ESTADOS FINANCIEROS</w:t>
      </w:r>
    </w:p>
    <w:p w:rsidR="00CF7C9F" w:rsidRDefault="00CF7C9F" w:rsidP="00CF7C9F">
      <w:pPr>
        <w:spacing w:after="0"/>
        <w:rPr>
          <w:b/>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CF7C9F" w:rsidRPr="00754409" w:rsidRDefault="00CF7C9F" w:rsidP="00CF7C9F">
      <w:pPr>
        <w:jc w:val="both"/>
        <w:rPr>
          <w:rFonts w:cstheme="minorHAnsi"/>
          <w:sz w:val="24"/>
          <w:szCs w:val="24"/>
        </w:rPr>
      </w:pPr>
      <w:r w:rsidRPr="00754409">
        <w:rPr>
          <w:rFonts w:cstheme="minorHAnsi"/>
          <w:sz w:val="24"/>
          <w:szCs w:val="24"/>
        </w:rPr>
        <w:t xml:space="preserve">Se han aplicado los </w:t>
      </w:r>
      <w:r>
        <w:rPr>
          <w:rFonts w:cstheme="minorHAnsi"/>
          <w:sz w:val="24"/>
          <w:szCs w:val="24"/>
        </w:rPr>
        <w:t xml:space="preserve">siguientes </w:t>
      </w:r>
      <w:r w:rsidRPr="00754409">
        <w:rPr>
          <w:rFonts w:cstheme="minorHAnsi"/>
          <w:sz w:val="24"/>
          <w:szCs w:val="24"/>
        </w:rPr>
        <w:t>documentos del CONAC en cuanto a nuestro ámbito de competencia</w:t>
      </w:r>
      <w:r>
        <w:rPr>
          <w:rFonts w:cstheme="minorHAnsi"/>
          <w:sz w:val="24"/>
          <w:szCs w:val="24"/>
        </w:rPr>
        <w:t>:</w:t>
      </w:r>
    </w:p>
    <w:p w:rsidR="00CF7C9F" w:rsidRPr="00B812BA" w:rsidRDefault="00CF7C9F" w:rsidP="00CF7C9F">
      <w:pPr>
        <w:tabs>
          <w:tab w:val="left" w:leader="underscore" w:pos="9639"/>
        </w:tabs>
        <w:spacing w:after="0" w:line="240" w:lineRule="auto"/>
        <w:jc w:val="both"/>
        <w:rPr>
          <w:rFonts w:cs="Calibri"/>
        </w:rPr>
      </w:pPr>
      <w:r w:rsidRPr="00B812BA">
        <w:rPr>
          <w:rFonts w:cs="Calibri"/>
        </w:rPr>
        <w:t>Norma General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Marco conceptual de Contabilidad Gubernamental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Postulados básicos de Contabilidad Gubernamental</w:t>
      </w:r>
    </w:p>
    <w:p w:rsidR="00CF7C9F" w:rsidRPr="00B812BA" w:rsidRDefault="00CF7C9F" w:rsidP="00CF7C9F">
      <w:pPr>
        <w:tabs>
          <w:tab w:val="left" w:leader="underscore" w:pos="9639"/>
        </w:tabs>
        <w:spacing w:after="0" w:line="240" w:lineRule="auto"/>
        <w:jc w:val="both"/>
        <w:rPr>
          <w:rFonts w:cs="Calibri"/>
        </w:rPr>
      </w:pPr>
      <w:r w:rsidRPr="00B812BA">
        <w:rPr>
          <w:rFonts w:cs="Calibri"/>
        </w:rPr>
        <w:t>Clasificadores Presupuestarios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Rubros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Administrativa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Funcional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Programática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Tipo de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Objeto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Clasificador por Fuentes de Financiamiento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Económica de los Ingresos, de los Gastos y del Financiamiento de los Entes Públicos</w:t>
      </w:r>
    </w:p>
    <w:p w:rsidR="00CF7C9F" w:rsidRPr="00B812BA" w:rsidRDefault="00CF7C9F" w:rsidP="00CF7C9F">
      <w:pPr>
        <w:tabs>
          <w:tab w:val="left" w:leader="underscore" w:pos="9639"/>
        </w:tabs>
        <w:spacing w:after="0" w:line="240" w:lineRule="auto"/>
        <w:jc w:val="both"/>
        <w:rPr>
          <w:rFonts w:cs="Calibri"/>
        </w:rPr>
      </w:pPr>
      <w:r w:rsidRPr="00B812BA">
        <w:rPr>
          <w:rFonts w:cs="Calibri"/>
        </w:rPr>
        <w:t>Reglas de registro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que deberán observar los entes públicos para registrar en las cuentas de activo los fideicomisos sin estructura orgánica y contratos análogos, incluyendo mandatos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Parámetros de Estimación de Vida Útil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emite el formato de conciliación entre los ingresos presupuestarios y contables, así como entre los egresos presupuestarios y los gastos contables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presupuestario y contable de los Recursos del Fondo de Aportaciones para la Nómina Educativa y Gasto Operativo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de los Recursos del Fondo de Aportaciones Múltiples para las operaciones derivadas del Programa de Mejoramiento de la Infraestructura Física Educativa (Programa Escuelas al CIEN).</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Manuales simplificados municipios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armoniza la estructura de las cuentas públicas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en materia de consolidación de Estados Financieros y demás información contable</w:t>
      </w:r>
    </w:p>
    <w:p w:rsidR="00CF7C9F" w:rsidRPr="00B812BA" w:rsidRDefault="00CF7C9F" w:rsidP="00CF7C9F">
      <w:pPr>
        <w:tabs>
          <w:tab w:val="left" w:leader="underscore" w:pos="9639"/>
        </w:tabs>
        <w:spacing w:after="0" w:line="240" w:lineRule="auto"/>
        <w:jc w:val="both"/>
        <w:rPr>
          <w:rFonts w:cs="Calibri"/>
        </w:rPr>
      </w:pPr>
      <w:r w:rsidRPr="00B812BA">
        <w:rPr>
          <w:rFonts w:cs="Calibri"/>
        </w:rPr>
        <w:t>Lineamientos de control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Auxiliar Sujeto a Inventario de Bienes Arqueológicos, Artísticos e Históricos Bajo Custodia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Mínimos relativos al Diseño e Integración del Registro en los Libros Diario, Mayor e Inventarios y Balances (Registro Electrónico)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dirigidos a asegurar que el Sistema de Contabilidad Gubernamental facilite el Registro y Control de los Inventarios de los Bienes Muebles e Inmuebles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Inmuebles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para establecer la estructura del formato de la relación de bienes que componen el patrimonio del ente público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de información financiera para precisar los alcances del Acuerdo 1 aprobado por el Consejo Nacional de Armonización Contable, en reunión del 3 de mayo de 2013 y publicado el 16 de mayo de 2013</w:t>
      </w:r>
    </w:p>
    <w:p w:rsidR="00CF7C9F" w:rsidRPr="00B812BA" w:rsidRDefault="00CF7C9F" w:rsidP="00CF7C9F">
      <w:pPr>
        <w:tabs>
          <w:tab w:val="left" w:leader="underscore" w:pos="9639"/>
        </w:tabs>
        <w:spacing w:after="0" w:line="240" w:lineRule="auto"/>
        <w:jc w:val="both"/>
        <w:rPr>
          <w:rFonts w:cs="Calibri"/>
        </w:rPr>
      </w:pPr>
      <w:r w:rsidRPr="00B812BA">
        <w:rPr>
          <w:rFonts w:cs="Calibri"/>
        </w:rPr>
        <w:t>Transparencia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Norma para armonizar la presentación de la información adicional a la iniciativa de la Ley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armonizar la presentación de la información adicional del Proyecto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la difusión a la ciudadanía de la Ley de Ingresos y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 Ingresos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del Presupuesto de Egresos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montos pagados por ayudas y subsidios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para establecer la estructura de información del formato del ejercicio y destino de gasto federalizado y reintegros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la relación de las cuentas bancarias productivas específicas que se presentan en la cuenta pública, en las cuales se depositen los recursos federales transferidos</w:t>
      </w:r>
    </w:p>
    <w:p w:rsidR="00CF7C9F" w:rsidRPr="00B812BA" w:rsidRDefault="00CF7C9F" w:rsidP="00CF7C9F">
      <w:pPr>
        <w:tabs>
          <w:tab w:val="left" w:leader="underscore" w:pos="9639"/>
        </w:tabs>
        <w:spacing w:after="0" w:line="240" w:lineRule="auto"/>
        <w:jc w:val="both"/>
        <w:rPr>
          <w:rFonts w:cs="Calibri"/>
        </w:rPr>
      </w:pPr>
      <w:proofErr w:type="spellStart"/>
      <w:r w:rsidRPr="00B812BA">
        <w:rPr>
          <w:rFonts w:cs="Calibri"/>
        </w:rPr>
        <w:t>Pbr</w:t>
      </w:r>
      <w:proofErr w:type="spellEnd"/>
      <w:r w:rsidRPr="00B812BA">
        <w:rPr>
          <w:rFonts w:cs="Calibri"/>
        </w:rPr>
        <w:t>-SED</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sobre los Indicadores para Medir los Avances Físicos y Financieros relacionados con los Recursos Públicos Federales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construcción y diseño de indicadores de desempeño mediante la Metodología de Marco Lógico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w:t>
      </w:r>
      <w:r w:rsidR="00A30BB5">
        <w:rPr>
          <w:rFonts w:cs="Calibri"/>
        </w:rPr>
        <w:t>ción de los estados financieros,</w:t>
      </w:r>
      <w:r w:rsidRPr="00E74967">
        <w:rPr>
          <w:rFonts w:cs="Calibri"/>
        </w:rPr>
        <w:t xml:space="preserve"> por ejemplo: costo histórico, valor de realización, valor razonable, valor de recuperación o cualquier otro método empleado y los criterios de aplicación de los mismos.</w:t>
      </w:r>
      <w:r w:rsidRPr="00754409">
        <w:t xml:space="preserve"> </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F7C9F" w:rsidRDefault="00CF7C9F" w:rsidP="00CF7C9F">
      <w:pPr>
        <w:spacing w:after="0" w:line="240" w:lineRule="auto"/>
        <w:jc w:val="both"/>
        <w:rPr>
          <w:rFonts w:cs="Calibri"/>
        </w:rPr>
      </w:pPr>
      <w:r w:rsidRPr="007112C0">
        <w:rPr>
          <w:rFonts w:cs="Calibri"/>
        </w:rPr>
        <w:t>Los postulados básicos del CONAC en lo que resulte aplicable</w:t>
      </w:r>
    </w:p>
    <w:p w:rsidR="00CF7C9F" w:rsidRDefault="00CF7C9F" w:rsidP="00CF7C9F">
      <w:pPr>
        <w:spacing w:after="0" w:line="240" w:lineRule="auto"/>
        <w:jc w:val="both"/>
        <w:rPr>
          <w:rFonts w:cs="Calibri"/>
        </w:rPr>
      </w:pPr>
      <w:r w:rsidRPr="007112C0">
        <w:rPr>
          <w:rFonts w:cs="Calibri"/>
        </w:rPr>
        <w:t>Son los elementos fundamentales que configuran el SCG, teniendo incidencia en la identificación, el</w:t>
      </w:r>
      <w:r>
        <w:rPr>
          <w:rFonts w:cs="Calibri"/>
        </w:rPr>
        <w:t xml:space="preserve"> </w:t>
      </w:r>
      <w:r w:rsidRPr="007112C0">
        <w:rPr>
          <w:rFonts w:cs="Calibri"/>
        </w:rPr>
        <w:t>análisis, la interpretación, la captación, el procesamiento y el reconocimiento de las</w:t>
      </w:r>
      <w:r>
        <w:rPr>
          <w:rFonts w:cs="Calibri"/>
        </w:rPr>
        <w:t xml:space="preserve"> </w:t>
      </w:r>
      <w:r w:rsidRPr="007112C0">
        <w:rPr>
          <w:rFonts w:cs="Calibri"/>
        </w:rPr>
        <w:t>transformaciones, transacciones y otros eventos que afectan el ente público y sustentan de manera</w:t>
      </w:r>
      <w:r>
        <w:rPr>
          <w:rFonts w:cs="Calibri"/>
        </w:rPr>
        <w:t xml:space="preserve"> </w:t>
      </w:r>
      <w:r w:rsidRPr="007112C0">
        <w:rPr>
          <w:rFonts w:cs="Calibri"/>
        </w:rPr>
        <w:t>técnica el registro de las operaciones, la elaboración y pres</w:t>
      </w:r>
      <w:r w:rsidR="00CD0976">
        <w:rPr>
          <w:rFonts w:cs="Calibri"/>
        </w:rPr>
        <w:t>entación de estados financieros,</w:t>
      </w:r>
      <w:r w:rsidRPr="007112C0">
        <w:rPr>
          <w:rFonts w:cs="Calibri"/>
        </w:rPr>
        <w:t xml:space="preserve"> basados</w:t>
      </w:r>
      <w:r>
        <w:rPr>
          <w:rFonts w:cs="Calibri"/>
        </w:rPr>
        <w:t xml:space="preserve"> </w:t>
      </w:r>
      <w:r w:rsidRPr="007112C0">
        <w:rPr>
          <w:rFonts w:cs="Calibri"/>
        </w:rPr>
        <w:t>en su razonamiento, eficiencia demostrada, respaldo en legislación especializada y aplicación de la</w:t>
      </w:r>
      <w:r>
        <w:rPr>
          <w:rFonts w:cs="Calibri"/>
        </w:rPr>
        <w:t xml:space="preserve"> </w:t>
      </w:r>
      <w:r w:rsidRPr="007112C0">
        <w:rPr>
          <w:rFonts w:cs="Calibri"/>
        </w:rPr>
        <w:t>Ley de Contabilidad, con la finalidad de uniformar los métodos, procedimientos y prácticas contables.</w:t>
      </w:r>
    </w:p>
    <w:p w:rsidR="00CF7C9F" w:rsidRPr="007112C0" w:rsidRDefault="00CF7C9F" w:rsidP="00CF7C9F">
      <w:pPr>
        <w:spacing w:after="0" w:line="240" w:lineRule="auto"/>
        <w:ind w:left="709"/>
        <w:jc w:val="both"/>
        <w:rPr>
          <w:rFonts w:cs="Calibri"/>
        </w:rPr>
      </w:pPr>
      <w:r w:rsidRPr="007112C0">
        <w:rPr>
          <w:rFonts w:cs="Calibri"/>
        </w:rPr>
        <w:t>1) Sustancia Económica</w:t>
      </w:r>
    </w:p>
    <w:p w:rsidR="00CF7C9F" w:rsidRPr="007112C0" w:rsidRDefault="00CF7C9F" w:rsidP="00CF7C9F">
      <w:pPr>
        <w:spacing w:after="0" w:line="240" w:lineRule="auto"/>
        <w:ind w:left="709"/>
        <w:jc w:val="both"/>
        <w:rPr>
          <w:rFonts w:cs="Calibri"/>
        </w:rPr>
      </w:pPr>
      <w:r w:rsidRPr="007112C0">
        <w:rPr>
          <w:rFonts w:cs="Calibri"/>
        </w:rPr>
        <w:t>2) Entes Públicos</w:t>
      </w:r>
    </w:p>
    <w:p w:rsidR="00CF7C9F" w:rsidRPr="007112C0" w:rsidRDefault="00CF7C9F" w:rsidP="00CF7C9F">
      <w:pPr>
        <w:spacing w:after="0" w:line="240" w:lineRule="auto"/>
        <w:ind w:left="709"/>
        <w:jc w:val="both"/>
        <w:rPr>
          <w:rFonts w:cs="Calibri"/>
        </w:rPr>
      </w:pPr>
      <w:r w:rsidRPr="007112C0">
        <w:rPr>
          <w:rFonts w:cs="Calibri"/>
        </w:rPr>
        <w:t>3) Existencia Permanente</w:t>
      </w:r>
    </w:p>
    <w:p w:rsidR="00CF7C9F" w:rsidRPr="007112C0" w:rsidRDefault="00CF7C9F" w:rsidP="00CF7C9F">
      <w:pPr>
        <w:spacing w:after="0" w:line="240" w:lineRule="auto"/>
        <w:ind w:left="709"/>
        <w:jc w:val="both"/>
        <w:rPr>
          <w:rFonts w:cs="Calibri"/>
        </w:rPr>
      </w:pPr>
      <w:r w:rsidRPr="007112C0">
        <w:rPr>
          <w:rFonts w:cs="Calibri"/>
        </w:rPr>
        <w:t>4) Revelación Suficiente</w:t>
      </w:r>
    </w:p>
    <w:p w:rsidR="00CF7C9F" w:rsidRPr="007112C0" w:rsidRDefault="00CF7C9F" w:rsidP="00CF7C9F">
      <w:pPr>
        <w:spacing w:after="0" w:line="240" w:lineRule="auto"/>
        <w:ind w:left="709"/>
        <w:jc w:val="both"/>
        <w:rPr>
          <w:rFonts w:cs="Calibri"/>
        </w:rPr>
      </w:pPr>
      <w:r w:rsidRPr="007112C0">
        <w:rPr>
          <w:rFonts w:cs="Calibri"/>
        </w:rPr>
        <w:t>5) Importancia Relativa</w:t>
      </w:r>
    </w:p>
    <w:p w:rsidR="00CF7C9F" w:rsidRPr="007112C0" w:rsidRDefault="00CF7C9F" w:rsidP="00CF7C9F">
      <w:pPr>
        <w:spacing w:after="0" w:line="240" w:lineRule="auto"/>
        <w:ind w:left="709"/>
        <w:jc w:val="both"/>
        <w:rPr>
          <w:rFonts w:cs="Calibri"/>
        </w:rPr>
      </w:pPr>
      <w:r w:rsidRPr="007112C0">
        <w:rPr>
          <w:rFonts w:cs="Calibri"/>
        </w:rPr>
        <w:lastRenderedPageBreak/>
        <w:t>6) Registro e Integración Presupuestaria</w:t>
      </w:r>
    </w:p>
    <w:p w:rsidR="00CF7C9F" w:rsidRPr="007112C0" w:rsidRDefault="00CF7C9F" w:rsidP="00CF7C9F">
      <w:pPr>
        <w:spacing w:after="0" w:line="240" w:lineRule="auto"/>
        <w:ind w:left="709"/>
        <w:jc w:val="both"/>
        <w:rPr>
          <w:rFonts w:cs="Calibri"/>
        </w:rPr>
      </w:pPr>
      <w:r w:rsidRPr="007112C0">
        <w:rPr>
          <w:rFonts w:cs="Calibri"/>
        </w:rPr>
        <w:t>7) Consolidación de la Información Financiera</w:t>
      </w:r>
    </w:p>
    <w:p w:rsidR="00CF7C9F" w:rsidRPr="007112C0" w:rsidRDefault="00CF7C9F" w:rsidP="00CF7C9F">
      <w:pPr>
        <w:spacing w:after="0" w:line="240" w:lineRule="auto"/>
        <w:ind w:left="709"/>
        <w:jc w:val="both"/>
        <w:rPr>
          <w:rFonts w:cs="Calibri"/>
        </w:rPr>
      </w:pPr>
      <w:r w:rsidRPr="007112C0">
        <w:rPr>
          <w:rFonts w:cs="Calibri"/>
        </w:rPr>
        <w:t>8) Devengo Contable</w:t>
      </w:r>
    </w:p>
    <w:p w:rsidR="00CF7C9F" w:rsidRPr="007112C0" w:rsidRDefault="00CF7C9F" w:rsidP="00CF7C9F">
      <w:pPr>
        <w:spacing w:after="0" w:line="240" w:lineRule="auto"/>
        <w:ind w:left="709"/>
        <w:jc w:val="both"/>
        <w:rPr>
          <w:rFonts w:cs="Calibri"/>
        </w:rPr>
      </w:pPr>
      <w:r w:rsidRPr="007112C0">
        <w:rPr>
          <w:rFonts w:cs="Calibri"/>
        </w:rPr>
        <w:t>9) Valuación</w:t>
      </w:r>
    </w:p>
    <w:p w:rsidR="00CF7C9F" w:rsidRPr="007112C0" w:rsidRDefault="00CF7C9F" w:rsidP="00CF7C9F">
      <w:pPr>
        <w:spacing w:after="0" w:line="240" w:lineRule="auto"/>
        <w:ind w:left="709"/>
        <w:jc w:val="both"/>
        <w:rPr>
          <w:rFonts w:cs="Calibri"/>
        </w:rPr>
      </w:pPr>
      <w:r w:rsidRPr="007112C0">
        <w:rPr>
          <w:rFonts w:cs="Calibri"/>
        </w:rPr>
        <w:t>10) Dualidad Económica</w:t>
      </w:r>
    </w:p>
    <w:p w:rsidR="00CF7C9F" w:rsidRPr="007112C0" w:rsidRDefault="00CF7C9F" w:rsidP="00CF7C9F">
      <w:pPr>
        <w:spacing w:after="0" w:line="240" w:lineRule="auto"/>
        <w:ind w:left="709"/>
        <w:jc w:val="both"/>
        <w:rPr>
          <w:rFonts w:cs="Calibri"/>
        </w:rPr>
      </w:pPr>
      <w:r w:rsidRPr="007112C0">
        <w:rPr>
          <w:rFonts w:cs="Calibri"/>
        </w:rPr>
        <w:t>11) Consistencia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F7C9F" w:rsidRPr="00E74967" w:rsidRDefault="00CF7C9F" w:rsidP="00CF7C9F">
      <w:pPr>
        <w:tabs>
          <w:tab w:val="left" w:leader="underscore" w:pos="9639"/>
        </w:tabs>
        <w:spacing w:after="0" w:line="240" w:lineRule="auto"/>
        <w:jc w:val="both"/>
        <w:rPr>
          <w:rFonts w:cs="Calibri"/>
        </w:rPr>
      </w:pPr>
      <w:r>
        <w:rPr>
          <w:rFonts w:cs="Calibri"/>
        </w:rPr>
        <w:t>NO APLICA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las nuevas políticas de reconocimiento:</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*Plan de implementación:</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8E72F0" w:rsidP="00CF7C9F">
      <w:pPr>
        <w:pStyle w:val="Ttulo2"/>
        <w:rPr>
          <w:rFonts w:cs="Calibri"/>
          <w:b/>
        </w:rPr>
      </w:pPr>
      <w:bookmarkStart w:id="1" w:name="_Toc508279626"/>
      <w:r w:rsidRPr="000C3365">
        <w:rPr>
          <w:rFonts w:asciiTheme="minorHAnsi" w:hAnsiTheme="minorHAnsi" w:cstheme="minorHAnsi"/>
          <w:b/>
          <w:color w:val="auto"/>
          <w:sz w:val="22"/>
        </w:rPr>
        <w:t>POLÍTICAS DE CONTABILIDAD SIGNIFICATIVAS</w:t>
      </w:r>
      <w:bookmarkEnd w:id="1"/>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w:t>
      </w:r>
      <w:r w:rsidR="006466C6">
        <w:rPr>
          <w:rFonts w:cs="Calibri"/>
        </w:rPr>
        <w:t>y las razones de dicha elección,</w:t>
      </w:r>
      <w:r w:rsidRPr="00E74967">
        <w:rPr>
          <w:rFonts w:cs="Calibri"/>
        </w:rPr>
        <w:t xml:space="preserve"> </w:t>
      </w:r>
      <w:r w:rsidR="006466C6">
        <w:rPr>
          <w:rFonts w:cs="Calibri"/>
        </w:rPr>
        <w:t>a</w:t>
      </w:r>
      <w:r w:rsidRPr="00E74967">
        <w:rPr>
          <w:rFonts w:cs="Calibri"/>
        </w:rPr>
        <w:t>sí como informar de la desconexión o reconexión inflacionaria: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CF7C9F" w:rsidRPr="004F0D4D" w:rsidRDefault="00CF7C9F" w:rsidP="00CF7C9F">
      <w:pPr>
        <w:spacing w:after="0" w:line="240" w:lineRule="auto"/>
        <w:jc w:val="both"/>
        <w:rPr>
          <w:rFonts w:ascii="Arial" w:hAnsi="Arial" w:cs="Arial"/>
        </w:rPr>
      </w:pPr>
    </w:p>
    <w:p w:rsidR="00CF7C9F" w:rsidRPr="004F0D4D" w:rsidRDefault="00CF7C9F" w:rsidP="00CF7C9F">
      <w:pPr>
        <w:spacing w:after="0" w:line="240" w:lineRule="auto"/>
        <w:jc w:val="both"/>
        <w:rPr>
          <w:rFonts w:ascii="Arial" w:hAnsi="Arial" w:cs="Arial"/>
        </w:rPr>
      </w:pPr>
      <w:r w:rsidRPr="004F0D4D">
        <w:rPr>
          <w:rFonts w:ascii="Arial" w:hAnsi="Arial" w:cs="Arial"/>
        </w:rPr>
        <w:t>Lineamientos para pasivos laborales</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CF7C9F" w:rsidRDefault="00CF7C9F" w:rsidP="00CF7C9F">
      <w:pPr>
        <w:tabs>
          <w:tab w:val="left" w:leader="underscore" w:pos="9639"/>
        </w:tabs>
        <w:spacing w:after="0" w:line="240" w:lineRule="auto"/>
        <w:jc w:val="both"/>
        <w:rPr>
          <w:rFonts w:cstheme="minorHAnsi"/>
          <w:sz w:val="24"/>
          <w:szCs w:val="24"/>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CF7C9F" w:rsidRDefault="00CF7C9F" w:rsidP="00CF7C9F">
      <w:pPr>
        <w:tabs>
          <w:tab w:val="left" w:leader="underscore" w:pos="9639"/>
        </w:tabs>
        <w:spacing w:after="0" w:line="240" w:lineRule="auto"/>
        <w:jc w:val="both"/>
        <w:rPr>
          <w:rFonts w:ascii="Arial" w:hAnsi="Arial" w:cs="Arial"/>
        </w:rPr>
      </w:pPr>
      <w:r>
        <w:rPr>
          <w:rFonts w:ascii="Arial" w:hAnsi="Arial" w:cs="Arial"/>
        </w:rPr>
        <w:t xml:space="preserve"> </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Default="00CF7C9F" w:rsidP="00CF7C9F">
      <w:pPr>
        <w:tabs>
          <w:tab w:val="left" w:leader="underscore" w:pos="9639"/>
        </w:tabs>
        <w:spacing w:after="0" w:line="240" w:lineRule="auto"/>
        <w:jc w:val="both"/>
        <w:rPr>
          <w:rFonts w:cs="Calibri"/>
        </w:rPr>
      </w:pPr>
    </w:p>
    <w:p w:rsidR="00CF7C9F" w:rsidRPr="000C3365" w:rsidRDefault="00CF7C9F" w:rsidP="00CF7C9F">
      <w:pPr>
        <w:pStyle w:val="Ttulo2"/>
        <w:rPr>
          <w:rFonts w:asciiTheme="minorHAnsi" w:hAnsiTheme="minorHAnsi" w:cstheme="minorHAnsi"/>
          <w:b/>
          <w:color w:val="auto"/>
          <w:sz w:val="22"/>
        </w:rPr>
      </w:pPr>
      <w:bookmarkStart w:id="2" w:name="_Toc508279627"/>
      <w:r w:rsidRPr="000C3365">
        <w:rPr>
          <w:rFonts w:asciiTheme="minorHAnsi" w:hAnsiTheme="minorHAnsi" w:cstheme="minorHAnsi"/>
          <w:b/>
          <w:color w:val="auto"/>
          <w:sz w:val="22"/>
        </w:rPr>
        <w:t>POSICIÓN EN MONEDA EXTRANJERA Y PROTECCIÓN POR RIESGO CAMBIARIO</w:t>
      </w:r>
      <w:bookmarkEnd w:id="2"/>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b/>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8E72F0" w:rsidRDefault="00CF7C9F" w:rsidP="00CF7C9F">
      <w:pPr>
        <w:tabs>
          <w:tab w:val="left" w:leader="underscore" w:pos="9639"/>
        </w:tabs>
        <w:spacing w:after="0" w:line="240" w:lineRule="auto"/>
        <w:jc w:val="both"/>
        <w:rPr>
          <w:rFonts w:cs="Calibri"/>
        </w:rPr>
      </w:pPr>
      <w:r w:rsidRPr="00E74967">
        <w:rPr>
          <w:rFonts w:cs="Calibri"/>
        </w:rPr>
        <w:t xml:space="preserve">Adicionalmente se informará sobre los métodos de protección de riesgo por variaciones en el </w:t>
      </w:r>
    </w:p>
    <w:p w:rsidR="00CF7C9F" w:rsidRDefault="00CF7C9F" w:rsidP="00CF7C9F">
      <w:pPr>
        <w:tabs>
          <w:tab w:val="left" w:leader="underscore" w:pos="9639"/>
        </w:tabs>
        <w:spacing w:after="0" w:line="240" w:lineRule="auto"/>
        <w:jc w:val="both"/>
        <w:rPr>
          <w:rFonts w:cs="Calibri"/>
        </w:rPr>
      </w:pPr>
      <w:r w:rsidRPr="00E74967">
        <w:rPr>
          <w:rFonts w:cs="Calibri"/>
        </w:rPr>
        <w:t>tipo de cambio.</w:t>
      </w:r>
    </w:p>
    <w:p w:rsidR="008E72F0" w:rsidRDefault="008E72F0" w:rsidP="00CF7C9F">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t>FI</w:t>
      </w:r>
      <w:r>
        <w:rPr>
          <w:rFonts w:asciiTheme="minorHAnsi" w:hAnsiTheme="minorHAnsi" w:cstheme="minorHAnsi"/>
          <w:b/>
          <w:color w:val="auto"/>
          <w:sz w:val="22"/>
        </w:rPr>
        <w:t>DEICOMISOS, MANDATOS Y ANÁLOGOS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deberá informar:</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8E72F0" w:rsidRPr="008B220F" w:rsidRDefault="008E72F0" w:rsidP="008E72F0">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INFORMACIÓN SOBRE LA DEUDA Y EL REPORTE ANALÍTICO DE LA DEUDA: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8E72F0" w:rsidRDefault="008E72F0" w:rsidP="008E72F0">
      <w:pPr>
        <w:tabs>
          <w:tab w:val="left" w:leader="underscore" w:pos="9639"/>
        </w:tabs>
        <w:spacing w:after="0" w:line="240" w:lineRule="auto"/>
        <w:jc w:val="both"/>
        <w:rPr>
          <w:rFonts w:cs="Calibri"/>
        </w:rPr>
      </w:pPr>
      <w:r w:rsidRPr="00E74967">
        <w:rPr>
          <w:rFonts w:cs="Calibri"/>
        </w:rPr>
        <w:t>* Se anexará la información en las notas de desglose.</w:t>
      </w:r>
    </w:p>
    <w:p w:rsidR="008E72F0" w:rsidRDefault="008E72F0" w:rsidP="008E72F0">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CALIFICACIONES OTORGADAS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PROCESO DE MEJORA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informará de:</w:t>
      </w: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E72F0" w:rsidRPr="008E72F0" w:rsidRDefault="008E72F0" w:rsidP="008E72F0">
      <w:pPr>
        <w:spacing w:after="0" w:line="240" w:lineRule="auto"/>
        <w:jc w:val="both"/>
        <w:rPr>
          <w:rFonts w:cs="Arial"/>
        </w:rPr>
      </w:pPr>
      <w:r w:rsidRPr="008E72F0">
        <w:rPr>
          <w:rFonts w:cs="Arial"/>
        </w:rPr>
        <w:t>Criterios de Racionalidad,  Austeridad y Disciplina Presupuestal para el ejercicio fiscal 2018 de la CAPAT.</w:t>
      </w:r>
    </w:p>
    <w:p w:rsidR="008E72F0" w:rsidRPr="008E72F0" w:rsidRDefault="008E72F0" w:rsidP="008E72F0">
      <w:pPr>
        <w:tabs>
          <w:tab w:val="left" w:leader="underscore" w:pos="9639"/>
        </w:tabs>
        <w:spacing w:after="0" w:line="240" w:lineRule="auto"/>
        <w:jc w:val="both"/>
        <w:rPr>
          <w:rFonts w:cs="Calibri"/>
        </w:rPr>
      </w:pPr>
      <w:r w:rsidRPr="008E72F0">
        <w:rPr>
          <w:rFonts w:cs="Calibri"/>
          <w:b/>
        </w:rPr>
        <w:t>b)</w:t>
      </w:r>
      <w:r w:rsidRPr="008E72F0">
        <w:rPr>
          <w:rFonts w:cs="Calibri"/>
        </w:rPr>
        <w:t xml:space="preserve"> Medidas de desempeño financiero, metas y alcance:</w:t>
      </w:r>
    </w:p>
    <w:p w:rsidR="008E72F0" w:rsidRDefault="008E72F0" w:rsidP="008E72F0">
      <w:pPr>
        <w:spacing w:after="0" w:line="240" w:lineRule="auto"/>
        <w:jc w:val="both"/>
        <w:rPr>
          <w:rFonts w:cs="Arial"/>
        </w:rPr>
      </w:pPr>
      <w:r w:rsidRPr="008E72F0">
        <w:rPr>
          <w:rFonts w:cs="Arial"/>
        </w:rPr>
        <w:t>Evaluación al desempeño Institucional</w:t>
      </w:r>
    </w:p>
    <w:p w:rsidR="008E72F0" w:rsidRPr="008E72F0" w:rsidRDefault="008E72F0" w:rsidP="008E72F0">
      <w:pPr>
        <w:spacing w:after="0" w:line="240" w:lineRule="auto"/>
        <w:jc w:val="both"/>
        <w:rPr>
          <w:rFonts w:cs="Arial"/>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INFORMACIÓN POR SEGMENTOS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E72F0" w:rsidRPr="00E74967" w:rsidRDefault="008E72F0" w:rsidP="008E72F0">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8E72F0" w:rsidRDefault="008E72F0" w:rsidP="008E72F0">
      <w:pPr>
        <w:tabs>
          <w:tab w:val="left" w:leader="underscore" w:pos="9639"/>
        </w:tabs>
        <w:spacing w:after="0" w:line="240" w:lineRule="auto"/>
        <w:jc w:val="both"/>
        <w:rPr>
          <w:rFonts w:cstheme="minorHAnsi"/>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Default="008E72F0" w:rsidP="008E72F0">
      <w:pPr>
        <w:pStyle w:val="Ttulo2"/>
        <w:rPr>
          <w:rFonts w:asciiTheme="minorHAnsi" w:hAnsiTheme="minorHAnsi" w:cstheme="minorHAnsi"/>
          <w:b/>
          <w:color w:val="auto"/>
          <w:sz w:val="22"/>
        </w:rPr>
      </w:pPr>
    </w:p>
    <w:p w:rsidR="008E72F0" w:rsidRDefault="008E72F0" w:rsidP="008E72F0">
      <w:pPr>
        <w:pStyle w:val="Ttulo2"/>
        <w:rPr>
          <w:rFonts w:asciiTheme="minorHAnsi" w:hAnsiTheme="minorHAnsi" w:cstheme="minorHAnsi"/>
          <w:b/>
          <w:color w:val="auto"/>
          <w:sz w:val="22"/>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EVENTOS POSTERIORES AL CIERRE</w:t>
      </w:r>
    </w:p>
    <w:p w:rsidR="008E72F0" w:rsidRPr="00E74967" w:rsidRDefault="008E72F0" w:rsidP="008E72F0">
      <w:pPr>
        <w:tabs>
          <w:tab w:val="left" w:leader="underscore" w:pos="9639"/>
        </w:tabs>
        <w:spacing w:after="0" w:line="240" w:lineRule="auto"/>
        <w:jc w:val="both"/>
        <w:rPr>
          <w:rFonts w:cs="Calibri"/>
        </w:rPr>
      </w:pPr>
    </w:p>
    <w:p w:rsidR="008E72F0" w:rsidRDefault="008E72F0" w:rsidP="008E72F0">
      <w:pPr>
        <w:tabs>
          <w:tab w:val="left" w:leader="underscore" w:pos="9639"/>
        </w:tabs>
        <w:spacing w:after="0" w:line="240" w:lineRule="auto"/>
        <w:jc w:val="both"/>
        <w:rPr>
          <w:rFonts w:cstheme="minorHAns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PARTES RELACIONADAS</w:t>
      </w:r>
    </w:p>
    <w:p w:rsidR="008E72F0" w:rsidRPr="00E74967" w:rsidRDefault="008E72F0" w:rsidP="008E72F0">
      <w:pPr>
        <w:tabs>
          <w:tab w:val="left" w:leader="underscore" w:pos="9639"/>
        </w:tabs>
        <w:spacing w:after="0" w:line="240" w:lineRule="auto"/>
        <w:jc w:val="both"/>
        <w:rPr>
          <w:rFonts w:cs="Calibri"/>
        </w:rPr>
      </w:pPr>
    </w:p>
    <w:p w:rsidR="008E72F0" w:rsidRPr="008E72F0" w:rsidRDefault="008E72F0" w:rsidP="008E72F0">
      <w:pPr>
        <w:tabs>
          <w:tab w:val="left" w:leader="underscore" w:pos="9639"/>
        </w:tabs>
        <w:spacing w:after="0" w:line="240" w:lineRule="auto"/>
        <w:jc w:val="both"/>
        <w:rPr>
          <w:rFonts w:cs="Calibri"/>
        </w:rPr>
      </w:pPr>
      <w:r w:rsidRPr="00E74967">
        <w:rPr>
          <w:rFonts w:cs="Calibri"/>
        </w:rPr>
        <w:t xml:space="preserve">Se debe establecer por escrito que no existen partes relacionadas que pudieran ejercer </w:t>
      </w:r>
      <w:r w:rsidRPr="008E72F0">
        <w:rPr>
          <w:rFonts w:cs="Calibri"/>
        </w:rPr>
        <w:t>influencia significativa sobre la toma de decisiones financieras y operativas:</w:t>
      </w:r>
    </w:p>
    <w:p w:rsidR="008E72F0" w:rsidRPr="008B220F" w:rsidRDefault="008E72F0" w:rsidP="008E72F0">
      <w:pPr>
        <w:tabs>
          <w:tab w:val="left" w:leader="underscore" w:pos="9639"/>
        </w:tabs>
        <w:spacing w:after="0" w:line="240" w:lineRule="auto"/>
        <w:jc w:val="both"/>
        <w:rPr>
          <w:rFonts w:ascii="Arial" w:hAnsi="Arial" w:cs="Arial"/>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ascii="Arial" w:hAnsi="Arial" w:cs="Arial"/>
        </w:rPr>
      </w:pPr>
    </w:p>
    <w:p w:rsidR="008E72F0" w:rsidRPr="00F46719" w:rsidRDefault="008E72F0" w:rsidP="008E72F0">
      <w:pPr>
        <w:pStyle w:val="Ttulo2"/>
        <w:rPr>
          <w:rFonts w:asciiTheme="minorHAnsi" w:hAnsiTheme="minorHAnsi" w:cstheme="minorHAnsi"/>
          <w:b/>
          <w:color w:val="auto"/>
          <w:sz w:val="22"/>
        </w:rPr>
      </w:pPr>
      <w:r w:rsidRPr="00F46719">
        <w:rPr>
          <w:rFonts w:asciiTheme="minorHAnsi" w:hAnsiTheme="minorHAnsi" w:cstheme="minorHAnsi"/>
          <w:b/>
          <w:color w:val="auto"/>
          <w:sz w:val="22"/>
        </w:rPr>
        <w:t>RESPONSABILIDAD SOBRE LA PRESENTACIÓN RAZONABLE DE LA INFORMACIÓN CONTABLE</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w:t>
      </w:r>
      <w:r w:rsidR="00832F2A">
        <w:rPr>
          <w:rFonts w:cs="Calibri"/>
        </w:rPr>
        <w:t>ad del emisor”.</w:t>
      </w:r>
    </w:p>
    <w:p w:rsidR="008E72F0" w:rsidRDefault="008E72F0" w:rsidP="008E72F0">
      <w:pPr>
        <w:tabs>
          <w:tab w:val="left" w:leader="underscore" w:pos="9639"/>
        </w:tabs>
        <w:spacing w:after="0" w:line="240" w:lineRule="auto"/>
        <w:jc w:val="both"/>
        <w:rPr>
          <w:rFonts w:ascii="Arial" w:hAnsi="Arial" w:cs="Arial"/>
        </w:rPr>
      </w:pPr>
    </w:p>
    <w:p w:rsidR="00497A3D" w:rsidRDefault="00497A3D" w:rsidP="008E72F0">
      <w:pPr>
        <w:tabs>
          <w:tab w:val="left" w:leader="underscore" w:pos="9639"/>
        </w:tabs>
        <w:spacing w:after="0" w:line="240" w:lineRule="auto"/>
        <w:jc w:val="both"/>
        <w:rPr>
          <w:rFonts w:ascii="Arial" w:hAnsi="Arial" w:cs="Arial"/>
        </w:rPr>
      </w:pPr>
    </w:p>
    <w:p w:rsidR="00497A3D" w:rsidRDefault="00497A3D" w:rsidP="008E72F0">
      <w:pPr>
        <w:tabs>
          <w:tab w:val="left" w:leader="underscore" w:pos="9639"/>
        </w:tabs>
        <w:spacing w:after="0" w:line="240" w:lineRule="auto"/>
        <w:jc w:val="both"/>
        <w:rPr>
          <w:rFonts w:ascii="Arial" w:hAnsi="Arial" w:cs="Arial"/>
        </w:rPr>
      </w:pPr>
    </w:p>
    <w:p w:rsidR="00497A3D" w:rsidRDefault="00497A3D" w:rsidP="008E72F0">
      <w:pPr>
        <w:tabs>
          <w:tab w:val="left" w:leader="underscore" w:pos="9639"/>
        </w:tabs>
        <w:spacing w:after="0" w:line="240" w:lineRule="auto"/>
        <w:jc w:val="both"/>
        <w:rPr>
          <w:rFonts w:ascii="Arial" w:hAnsi="Arial" w:cs="Arial"/>
        </w:rPr>
      </w:pPr>
    </w:p>
    <w:sectPr w:rsidR="00497A3D" w:rsidSect="00231BA3">
      <w:footerReference w:type="default" r:id="rId9"/>
      <w:pgSz w:w="12240" w:h="15840"/>
      <w:pgMar w:top="2552" w:right="1610" w:bottom="1440"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82" w:rsidRDefault="00564082" w:rsidP="00901D42">
      <w:pPr>
        <w:spacing w:after="0" w:line="240" w:lineRule="auto"/>
      </w:pPr>
      <w:r>
        <w:separator/>
      </w:r>
    </w:p>
  </w:endnote>
  <w:endnote w:type="continuationSeparator" w:id="0">
    <w:p w:rsidR="00564082" w:rsidRDefault="00564082" w:rsidP="0090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19"/>
      <w:gridCol w:w="1082"/>
      <w:gridCol w:w="3819"/>
    </w:tblGrid>
    <w:tr w:rsidR="00B7662D">
      <w:trPr>
        <w:trHeight w:val="151"/>
      </w:trPr>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val="restart"/>
          <w:noWrap/>
          <w:vAlign w:val="center"/>
        </w:tcPr>
        <w:p w:rsidR="00B7662D" w:rsidRDefault="00B7662D" w:rsidP="00901D4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642CA2" w:rsidRPr="00642CA2">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r>
    <w:tr w:rsidR="00B7662D">
      <w:trPr>
        <w:trHeight w:val="150"/>
      </w:trPr>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tcPr>
        <w:p w:rsidR="00B7662D" w:rsidRDefault="00B7662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r>
  </w:tbl>
  <w:p w:rsidR="00B7662D" w:rsidRDefault="00B7662D" w:rsidP="00901D4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82" w:rsidRDefault="00564082" w:rsidP="00901D42">
      <w:pPr>
        <w:spacing w:after="0" w:line="240" w:lineRule="auto"/>
      </w:pPr>
      <w:r>
        <w:separator/>
      </w:r>
    </w:p>
  </w:footnote>
  <w:footnote w:type="continuationSeparator" w:id="0">
    <w:p w:rsidR="00564082" w:rsidRDefault="00564082" w:rsidP="0090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C47"/>
    <w:multiLevelType w:val="hybridMultilevel"/>
    <w:tmpl w:val="9A426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907A3"/>
    <w:multiLevelType w:val="hybridMultilevel"/>
    <w:tmpl w:val="C2D875AA"/>
    <w:lvl w:ilvl="0" w:tplc="4B86A5F2">
      <w:start w:val="2"/>
      <w:numFmt w:val="bullet"/>
      <w:lvlText w:val=""/>
      <w:lvlJc w:val="left"/>
      <w:pPr>
        <w:ind w:left="1065" w:hanging="360"/>
      </w:pPr>
      <w:rPr>
        <w:rFonts w:ascii="Symbol" w:eastAsiaTheme="minorEastAsia" w:hAnsi="Symbol"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nsid w:val="4103558A"/>
    <w:multiLevelType w:val="hybridMultilevel"/>
    <w:tmpl w:val="754448E8"/>
    <w:lvl w:ilvl="0" w:tplc="A7E0B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6"/>
    <w:rsid w:val="00000145"/>
    <w:rsid w:val="00003FEE"/>
    <w:rsid w:val="000049DF"/>
    <w:rsid w:val="00011BF4"/>
    <w:rsid w:val="00014884"/>
    <w:rsid w:val="00020EFC"/>
    <w:rsid w:val="0002316C"/>
    <w:rsid w:val="00023E22"/>
    <w:rsid w:val="0002437F"/>
    <w:rsid w:val="00030A6F"/>
    <w:rsid w:val="00034E8B"/>
    <w:rsid w:val="00040406"/>
    <w:rsid w:val="00041E02"/>
    <w:rsid w:val="00043D61"/>
    <w:rsid w:val="00044BE8"/>
    <w:rsid w:val="0004758C"/>
    <w:rsid w:val="00047C9A"/>
    <w:rsid w:val="000533EA"/>
    <w:rsid w:val="00061A2D"/>
    <w:rsid w:val="00062EAC"/>
    <w:rsid w:val="00070467"/>
    <w:rsid w:val="00087932"/>
    <w:rsid w:val="000905A1"/>
    <w:rsid w:val="00091B8F"/>
    <w:rsid w:val="000A2A9E"/>
    <w:rsid w:val="000A3377"/>
    <w:rsid w:val="000B0354"/>
    <w:rsid w:val="000B27BB"/>
    <w:rsid w:val="000B4625"/>
    <w:rsid w:val="000B6E44"/>
    <w:rsid w:val="000C0FD5"/>
    <w:rsid w:val="000C206A"/>
    <w:rsid w:val="000D02AE"/>
    <w:rsid w:val="000E00CD"/>
    <w:rsid w:val="000E1480"/>
    <w:rsid w:val="000E4AE0"/>
    <w:rsid w:val="000F0B85"/>
    <w:rsid w:val="000F529C"/>
    <w:rsid w:val="00100831"/>
    <w:rsid w:val="001014FD"/>
    <w:rsid w:val="0011738D"/>
    <w:rsid w:val="00121402"/>
    <w:rsid w:val="00130D9A"/>
    <w:rsid w:val="001353F8"/>
    <w:rsid w:val="00140C5B"/>
    <w:rsid w:val="0014145E"/>
    <w:rsid w:val="00144E1F"/>
    <w:rsid w:val="00145F94"/>
    <w:rsid w:val="00153AD8"/>
    <w:rsid w:val="00157D10"/>
    <w:rsid w:val="0016673A"/>
    <w:rsid w:val="0017377F"/>
    <w:rsid w:val="00174104"/>
    <w:rsid w:val="001A066A"/>
    <w:rsid w:val="001A1FBD"/>
    <w:rsid w:val="001A5C85"/>
    <w:rsid w:val="001A65D1"/>
    <w:rsid w:val="001A66F7"/>
    <w:rsid w:val="001B7F27"/>
    <w:rsid w:val="001D0C5C"/>
    <w:rsid w:val="001D22C5"/>
    <w:rsid w:val="001E0F26"/>
    <w:rsid w:val="001E3646"/>
    <w:rsid w:val="001E6395"/>
    <w:rsid w:val="001F02CB"/>
    <w:rsid w:val="001F2E52"/>
    <w:rsid w:val="001F362C"/>
    <w:rsid w:val="001F51CD"/>
    <w:rsid w:val="001F5DD8"/>
    <w:rsid w:val="001F6FE1"/>
    <w:rsid w:val="0021368E"/>
    <w:rsid w:val="00215286"/>
    <w:rsid w:val="0021688A"/>
    <w:rsid w:val="00217563"/>
    <w:rsid w:val="00221E92"/>
    <w:rsid w:val="00224E10"/>
    <w:rsid w:val="0022687A"/>
    <w:rsid w:val="00230629"/>
    <w:rsid w:val="00231BA3"/>
    <w:rsid w:val="00231EDF"/>
    <w:rsid w:val="00237759"/>
    <w:rsid w:val="0024057A"/>
    <w:rsid w:val="002516DD"/>
    <w:rsid w:val="002524D9"/>
    <w:rsid w:val="0025530D"/>
    <w:rsid w:val="00271473"/>
    <w:rsid w:val="00273CE2"/>
    <w:rsid w:val="0027759F"/>
    <w:rsid w:val="00277D4D"/>
    <w:rsid w:val="002813D8"/>
    <w:rsid w:val="002819D9"/>
    <w:rsid w:val="00282615"/>
    <w:rsid w:val="002828E7"/>
    <w:rsid w:val="00284AFA"/>
    <w:rsid w:val="00284C7F"/>
    <w:rsid w:val="00292E1D"/>
    <w:rsid w:val="002A25E6"/>
    <w:rsid w:val="002A796C"/>
    <w:rsid w:val="002A7E3B"/>
    <w:rsid w:val="002B3838"/>
    <w:rsid w:val="002B6934"/>
    <w:rsid w:val="002B6B70"/>
    <w:rsid w:val="002C1D28"/>
    <w:rsid w:val="002C5097"/>
    <w:rsid w:val="002C7D93"/>
    <w:rsid w:val="002D1785"/>
    <w:rsid w:val="002F387A"/>
    <w:rsid w:val="002F6ECF"/>
    <w:rsid w:val="003013F8"/>
    <w:rsid w:val="00314342"/>
    <w:rsid w:val="00317D10"/>
    <w:rsid w:val="00320D24"/>
    <w:rsid w:val="00342C73"/>
    <w:rsid w:val="0034312D"/>
    <w:rsid w:val="00343280"/>
    <w:rsid w:val="0034645E"/>
    <w:rsid w:val="00355670"/>
    <w:rsid w:val="0036043C"/>
    <w:rsid w:val="00360592"/>
    <w:rsid w:val="00360718"/>
    <w:rsid w:val="003635D9"/>
    <w:rsid w:val="00363673"/>
    <w:rsid w:val="00363907"/>
    <w:rsid w:val="00363EF0"/>
    <w:rsid w:val="003657BF"/>
    <w:rsid w:val="003665C0"/>
    <w:rsid w:val="00370754"/>
    <w:rsid w:val="003714DB"/>
    <w:rsid w:val="0037201C"/>
    <w:rsid w:val="00380488"/>
    <w:rsid w:val="00382357"/>
    <w:rsid w:val="003A124F"/>
    <w:rsid w:val="003C02BE"/>
    <w:rsid w:val="003C0FB4"/>
    <w:rsid w:val="003C3605"/>
    <w:rsid w:val="003D6A8F"/>
    <w:rsid w:val="003E0475"/>
    <w:rsid w:val="003E4B87"/>
    <w:rsid w:val="003E61D4"/>
    <w:rsid w:val="003E63B6"/>
    <w:rsid w:val="003F12EE"/>
    <w:rsid w:val="003F4356"/>
    <w:rsid w:val="003F5DBA"/>
    <w:rsid w:val="003F68A0"/>
    <w:rsid w:val="003F7759"/>
    <w:rsid w:val="0040077E"/>
    <w:rsid w:val="004070E8"/>
    <w:rsid w:val="004140E1"/>
    <w:rsid w:val="00417705"/>
    <w:rsid w:val="00420049"/>
    <w:rsid w:val="00421AFC"/>
    <w:rsid w:val="00421DA1"/>
    <w:rsid w:val="0043062F"/>
    <w:rsid w:val="00435281"/>
    <w:rsid w:val="0044092C"/>
    <w:rsid w:val="00454567"/>
    <w:rsid w:val="00454B15"/>
    <w:rsid w:val="0045763B"/>
    <w:rsid w:val="00472C69"/>
    <w:rsid w:val="00483C72"/>
    <w:rsid w:val="00484ED6"/>
    <w:rsid w:val="00486354"/>
    <w:rsid w:val="0049115E"/>
    <w:rsid w:val="00496EA3"/>
    <w:rsid w:val="00497A3D"/>
    <w:rsid w:val="004A0AE2"/>
    <w:rsid w:val="004A50B1"/>
    <w:rsid w:val="004D24C7"/>
    <w:rsid w:val="004E039D"/>
    <w:rsid w:val="004E0F82"/>
    <w:rsid w:val="004E128E"/>
    <w:rsid w:val="00503DAC"/>
    <w:rsid w:val="00506052"/>
    <w:rsid w:val="005078A7"/>
    <w:rsid w:val="00510354"/>
    <w:rsid w:val="00516C1E"/>
    <w:rsid w:val="0052659F"/>
    <w:rsid w:val="0052740C"/>
    <w:rsid w:val="00531BDB"/>
    <w:rsid w:val="00532A7E"/>
    <w:rsid w:val="00542FA3"/>
    <w:rsid w:val="00543012"/>
    <w:rsid w:val="00545BBE"/>
    <w:rsid w:val="005471C4"/>
    <w:rsid w:val="00552B1B"/>
    <w:rsid w:val="00552FE7"/>
    <w:rsid w:val="0056128C"/>
    <w:rsid w:val="0056192E"/>
    <w:rsid w:val="00562A8D"/>
    <w:rsid w:val="00564082"/>
    <w:rsid w:val="00564EA6"/>
    <w:rsid w:val="00565315"/>
    <w:rsid w:val="0056567A"/>
    <w:rsid w:val="00570803"/>
    <w:rsid w:val="005720BB"/>
    <w:rsid w:val="005729AC"/>
    <w:rsid w:val="0057384C"/>
    <w:rsid w:val="00573AD1"/>
    <w:rsid w:val="00573B3C"/>
    <w:rsid w:val="00581616"/>
    <w:rsid w:val="00582AA8"/>
    <w:rsid w:val="00586FDD"/>
    <w:rsid w:val="005961A5"/>
    <w:rsid w:val="005A0611"/>
    <w:rsid w:val="005A1A4B"/>
    <w:rsid w:val="005A29FE"/>
    <w:rsid w:val="005C1818"/>
    <w:rsid w:val="005C472B"/>
    <w:rsid w:val="005D0AE7"/>
    <w:rsid w:val="005D12BC"/>
    <w:rsid w:val="005D2E75"/>
    <w:rsid w:val="005D3AB2"/>
    <w:rsid w:val="005E0E35"/>
    <w:rsid w:val="005E27F1"/>
    <w:rsid w:val="005E6FFF"/>
    <w:rsid w:val="005F2FCA"/>
    <w:rsid w:val="00613DD8"/>
    <w:rsid w:val="00617F3B"/>
    <w:rsid w:val="0062632F"/>
    <w:rsid w:val="00627723"/>
    <w:rsid w:val="00640321"/>
    <w:rsid w:val="0064070A"/>
    <w:rsid w:val="00642CA2"/>
    <w:rsid w:val="006466C6"/>
    <w:rsid w:val="00651BBB"/>
    <w:rsid w:val="006521E1"/>
    <w:rsid w:val="006547BA"/>
    <w:rsid w:val="00657489"/>
    <w:rsid w:val="0066250F"/>
    <w:rsid w:val="00677949"/>
    <w:rsid w:val="00683C9E"/>
    <w:rsid w:val="006965C1"/>
    <w:rsid w:val="006A09B6"/>
    <w:rsid w:val="006A5EC1"/>
    <w:rsid w:val="006A6A50"/>
    <w:rsid w:val="006A6FCF"/>
    <w:rsid w:val="006B4DE7"/>
    <w:rsid w:val="006C4E4A"/>
    <w:rsid w:val="006D3854"/>
    <w:rsid w:val="006D6F7F"/>
    <w:rsid w:val="006E00BA"/>
    <w:rsid w:val="006E2AFA"/>
    <w:rsid w:val="006E4A84"/>
    <w:rsid w:val="006F41C9"/>
    <w:rsid w:val="006F6FDE"/>
    <w:rsid w:val="006F757B"/>
    <w:rsid w:val="006F79EE"/>
    <w:rsid w:val="00706B00"/>
    <w:rsid w:val="007155F4"/>
    <w:rsid w:val="00716437"/>
    <w:rsid w:val="007166FF"/>
    <w:rsid w:val="00721983"/>
    <w:rsid w:val="0073090C"/>
    <w:rsid w:val="00731194"/>
    <w:rsid w:val="00734E27"/>
    <w:rsid w:val="00737248"/>
    <w:rsid w:val="007417DE"/>
    <w:rsid w:val="0074377C"/>
    <w:rsid w:val="00745DAE"/>
    <w:rsid w:val="007464DE"/>
    <w:rsid w:val="007471D3"/>
    <w:rsid w:val="00756D85"/>
    <w:rsid w:val="00761C37"/>
    <w:rsid w:val="0076444C"/>
    <w:rsid w:val="00767D62"/>
    <w:rsid w:val="00771D74"/>
    <w:rsid w:val="0077683D"/>
    <w:rsid w:val="007834D1"/>
    <w:rsid w:val="00784F33"/>
    <w:rsid w:val="007909AB"/>
    <w:rsid w:val="00790E72"/>
    <w:rsid w:val="00794E4B"/>
    <w:rsid w:val="007976A9"/>
    <w:rsid w:val="007A01B0"/>
    <w:rsid w:val="007A1F4E"/>
    <w:rsid w:val="007C081C"/>
    <w:rsid w:val="007C104B"/>
    <w:rsid w:val="007C3D69"/>
    <w:rsid w:val="007D5BE8"/>
    <w:rsid w:val="007D68D5"/>
    <w:rsid w:val="007E5A58"/>
    <w:rsid w:val="007F3169"/>
    <w:rsid w:val="008013F1"/>
    <w:rsid w:val="0080482B"/>
    <w:rsid w:val="00832F2A"/>
    <w:rsid w:val="00836B64"/>
    <w:rsid w:val="0084658A"/>
    <w:rsid w:val="008545C6"/>
    <w:rsid w:val="0085527B"/>
    <w:rsid w:val="00862C59"/>
    <w:rsid w:val="00867D92"/>
    <w:rsid w:val="0089316A"/>
    <w:rsid w:val="008937CA"/>
    <w:rsid w:val="00895005"/>
    <w:rsid w:val="008A0BF1"/>
    <w:rsid w:val="008B1474"/>
    <w:rsid w:val="008C6D95"/>
    <w:rsid w:val="008D4951"/>
    <w:rsid w:val="008E1B7D"/>
    <w:rsid w:val="008E3A3A"/>
    <w:rsid w:val="008E72F0"/>
    <w:rsid w:val="00901D42"/>
    <w:rsid w:val="00902E92"/>
    <w:rsid w:val="00921152"/>
    <w:rsid w:val="00921BAF"/>
    <w:rsid w:val="0092332F"/>
    <w:rsid w:val="00927152"/>
    <w:rsid w:val="00931571"/>
    <w:rsid w:val="00935B78"/>
    <w:rsid w:val="0093797D"/>
    <w:rsid w:val="00940A6B"/>
    <w:rsid w:val="00944603"/>
    <w:rsid w:val="00945014"/>
    <w:rsid w:val="0094607D"/>
    <w:rsid w:val="00950BC8"/>
    <w:rsid w:val="00956923"/>
    <w:rsid w:val="00972F5F"/>
    <w:rsid w:val="00977892"/>
    <w:rsid w:val="009812CF"/>
    <w:rsid w:val="00985310"/>
    <w:rsid w:val="00992CDF"/>
    <w:rsid w:val="00994457"/>
    <w:rsid w:val="0099618C"/>
    <w:rsid w:val="00996DC8"/>
    <w:rsid w:val="009A2938"/>
    <w:rsid w:val="009A5968"/>
    <w:rsid w:val="009B1217"/>
    <w:rsid w:val="009B7D7A"/>
    <w:rsid w:val="009C3917"/>
    <w:rsid w:val="009C73B9"/>
    <w:rsid w:val="009D24AD"/>
    <w:rsid w:val="009D3F45"/>
    <w:rsid w:val="009D5F28"/>
    <w:rsid w:val="009D617C"/>
    <w:rsid w:val="009E4655"/>
    <w:rsid w:val="009E71F7"/>
    <w:rsid w:val="009F1075"/>
    <w:rsid w:val="00A04FE4"/>
    <w:rsid w:val="00A05C3C"/>
    <w:rsid w:val="00A06862"/>
    <w:rsid w:val="00A075C3"/>
    <w:rsid w:val="00A12438"/>
    <w:rsid w:val="00A13EE2"/>
    <w:rsid w:val="00A14466"/>
    <w:rsid w:val="00A15D02"/>
    <w:rsid w:val="00A2140F"/>
    <w:rsid w:val="00A261C1"/>
    <w:rsid w:val="00A30BB5"/>
    <w:rsid w:val="00A403ED"/>
    <w:rsid w:val="00A41741"/>
    <w:rsid w:val="00A45506"/>
    <w:rsid w:val="00A5075B"/>
    <w:rsid w:val="00A65D27"/>
    <w:rsid w:val="00A67481"/>
    <w:rsid w:val="00A7069C"/>
    <w:rsid w:val="00A70DB5"/>
    <w:rsid w:val="00A82C5B"/>
    <w:rsid w:val="00A90B21"/>
    <w:rsid w:val="00A93216"/>
    <w:rsid w:val="00A948F1"/>
    <w:rsid w:val="00AA7C96"/>
    <w:rsid w:val="00AB11B1"/>
    <w:rsid w:val="00AB7744"/>
    <w:rsid w:val="00AD7210"/>
    <w:rsid w:val="00AF229E"/>
    <w:rsid w:val="00AF22F0"/>
    <w:rsid w:val="00B02183"/>
    <w:rsid w:val="00B0682D"/>
    <w:rsid w:val="00B161D6"/>
    <w:rsid w:val="00B16650"/>
    <w:rsid w:val="00B16DB9"/>
    <w:rsid w:val="00B17DB1"/>
    <w:rsid w:val="00B17FA4"/>
    <w:rsid w:val="00B2235B"/>
    <w:rsid w:val="00B24AEB"/>
    <w:rsid w:val="00B26064"/>
    <w:rsid w:val="00B33759"/>
    <w:rsid w:val="00B35408"/>
    <w:rsid w:val="00B36490"/>
    <w:rsid w:val="00B377E4"/>
    <w:rsid w:val="00B419CB"/>
    <w:rsid w:val="00B5705A"/>
    <w:rsid w:val="00B6060D"/>
    <w:rsid w:val="00B642B4"/>
    <w:rsid w:val="00B703DC"/>
    <w:rsid w:val="00B74DC9"/>
    <w:rsid w:val="00B7662D"/>
    <w:rsid w:val="00B8058F"/>
    <w:rsid w:val="00B86087"/>
    <w:rsid w:val="00B90BE3"/>
    <w:rsid w:val="00B91F31"/>
    <w:rsid w:val="00B9222D"/>
    <w:rsid w:val="00B97A54"/>
    <w:rsid w:val="00BA5FE5"/>
    <w:rsid w:val="00BB3F1A"/>
    <w:rsid w:val="00BC02A6"/>
    <w:rsid w:val="00BE0197"/>
    <w:rsid w:val="00BE4BFB"/>
    <w:rsid w:val="00BE5A03"/>
    <w:rsid w:val="00C0019E"/>
    <w:rsid w:val="00C13982"/>
    <w:rsid w:val="00C2318F"/>
    <w:rsid w:val="00C244F1"/>
    <w:rsid w:val="00C26DB7"/>
    <w:rsid w:val="00C32B5C"/>
    <w:rsid w:val="00C34538"/>
    <w:rsid w:val="00C345FB"/>
    <w:rsid w:val="00C422AA"/>
    <w:rsid w:val="00C42C3E"/>
    <w:rsid w:val="00C44D61"/>
    <w:rsid w:val="00C50311"/>
    <w:rsid w:val="00C5087B"/>
    <w:rsid w:val="00C52F39"/>
    <w:rsid w:val="00C75618"/>
    <w:rsid w:val="00C83735"/>
    <w:rsid w:val="00C93BD1"/>
    <w:rsid w:val="00CA0766"/>
    <w:rsid w:val="00CA1FC5"/>
    <w:rsid w:val="00CA2C79"/>
    <w:rsid w:val="00CA41F7"/>
    <w:rsid w:val="00CA5850"/>
    <w:rsid w:val="00CB0B21"/>
    <w:rsid w:val="00CB759B"/>
    <w:rsid w:val="00CC1E9A"/>
    <w:rsid w:val="00CD0976"/>
    <w:rsid w:val="00CE1330"/>
    <w:rsid w:val="00CE2F3B"/>
    <w:rsid w:val="00CF181E"/>
    <w:rsid w:val="00CF2E9F"/>
    <w:rsid w:val="00CF3363"/>
    <w:rsid w:val="00CF7C9F"/>
    <w:rsid w:val="00D028CB"/>
    <w:rsid w:val="00D074AD"/>
    <w:rsid w:val="00D10308"/>
    <w:rsid w:val="00D15467"/>
    <w:rsid w:val="00D163F0"/>
    <w:rsid w:val="00D16602"/>
    <w:rsid w:val="00D20312"/>
    <w:rsid w:val="00D20636"/>
    <w:rsid w:val="00D213DD"/>
    <w:rsid w:val="00D21467"/>
    <w:rsid w:val="00D331D5"/>
    <w:rsid w:val="00D357FD"/>
    <w:rsid w:val="00D41BCC"/>
    <w:rsid w:val="00D51113"/>
    <w:rsid w:val="00D6744D"/>
    <w:rsid w:val="00D70C17"/>
    <w:rsid w:val="00D75BE2"/>
    <w:rsid w:val="00D8070F"/>
    <w:rsid w:val="00D85568"/>
    <w:rsid w:val="00D86C34"/>
    <w:rsid w:val="00D9440E"/>
    <w:rsid w:val="00D94410"/>
    <w:rsid w:val="00DA1F02"/>
    <w:rsid w:val="00DA60FB"/>
    <w:rsid w:val="00DA7A17"/>
    <w:rsid w:val="00DB18BC"/>
    <w:rsid w:val="00DB2259"/>
    <w:rsid w:val="00DB53C9"/>
    <w:rsid w:val="00DC0BB9"/>
    <w:rsid w:val="00DC32AA"/>
    <w:rsid w:val="00DC36BD"/>
    <w:rsid w:val="00DC3AAD"/>
    <w:rsid w:val="00DE289C"/>
    <w:rsid w:val="00E10ED5"/>
    <w:rsid w:val="00E251EF"/>
    <w:rsid w:val="00E27805"/>
    <w:rsid w:val="00E41473"/>
    <w:rsid w:val="00E56075"/>
    <w:rsid w:val="00E635D7"/>
    <w:rsid w:val="00E70A5B"/>
    <w:rsid w:val="00E71209"/>
    <w:rsid w:val="00E74609"/>
    <w:rsid w:val="00EA55F5"/>
    <w:rsid w:val="00EA7CF1"/>
    <w:rsid w:val="00EB68BE"/>
    <w:rsid w:val="00EC7167"/>
    <w:rsid w:val="00EC74C8"/>
    <w:rsid w:val="00EE28FF"/>
    <w:rsid w:val="00EE34E1"/>
    <w:rsid w:val="00EE5A8A"/>
    <w:rsid w:val="00EE626B"/>
    <w:rsid w:val="00F06112"/>
    <w:rsid w:val="00F11050"/>
    <w:rsid w:val="00F13C81"/>
    <w:rsid w:val="00F146C4"/>
    <w:rsid w:val="00F20AB2"/>
    <w:rsid w:val="00F2427B"/>
    <w:rsid w:val="00F30197"/>
    <w:rsid w:val="00F37639"/>
    <w:rsid w:val="00F421C4"/>
    <w:rsid w:val="00F46AEF"/>
    <w:rsid w:val="00F46BC8"/>
    <w:rsid w:val="00F504D9"/>
    <w:rsid w:val="00F52726"/>
    <w:rsid w:val="00F567D5"/>
    <w:rsid w:val="00F92F98"/>
    <w:rsid w:val="00F93B37"/>
    <w:rsid w:val="00F94B1A"/>
    <w:rsid w:val="00F9542B"/>
    <w:rsid w:val="00FB211E"/>
    <w:rsid w:val="00FC0B25"/>
    <w:rsid w:val="00FC3514"/>
    <w:rsid w:val="00FD1809"/>
    <w:rsid w:val="00FE67E7"/>
    <w:rsid w:val="00FF5C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260">
      <w:bodyDiv w:val="1"/>
      <w:marLeft w:val="0"/>
      <w:marRight w:val="0"/>
      <w:marTop w:val="0"/>
      <w:marBottom w:val="0"/>
      <w:divBdr>
        <w:top w:val="none" w:sz="0" w:space="0" w:color="auto"/>
        <w:left w:val="none" w:sz="0" w:space="0" w:color="auto"/>
        <w:bottom w:val="none" w:sz="0" w:space="0" w:color="auto"/>
        <w:right w:val="none" w:sz="0" w:space="0" w:color="auto"/>
      </w:divBdr>
    </w:div>
    <w:div w:id="47387804">
      <w:bodyDiv w:val="1"/>
      <w:marLeft w:val="0"/>
      <w:marRight w:val="0"/>
      <w:marTop w:val="0"/>
      <w:marBottom w:val="0"/>
      <w:divBdr>
        <w:top w:val="none" w:sz="0" w:space="0" w:color="auto"/>
        <w:left w:val="none" w:sz="0" w:space="0" w:color="auto"/>
        <w:bottom w:val="none" w:sz="0" w:space="0" w:color="auto"/>
        <w:right w:val="none" w:sz="0" w:space="0" w:color="auto"/>
      </w:divBdr>
    </w:div>
    <w:div w:id="49695478">
      <w:bodyDiv w:val="1"/>
      <w:marLeft w:val="0"/>
      <w:marRight w:val="0"/>
      <w:marTop w:val="0"/>
      <w:marBottom w:val="0"/>
      <w:divBdr>
        <w:top w:val="none" w:sz="0" w:space="0" w:color="auto"/>
        <w:left w:val="none" w:sz="0" w:space="0" w:color="auto"/>
        <w:bottom w:val="none" w:sz="0" w:space="0" w:color="auto"/>
        <w:right w:val="none" w:sz="0" w:space="0" w:color="auto"/>
      </w:divBdr>
    </w:div>
    <w:div w:id="60563213">
      <w:bodyDiv w:val="1"/>
      <w:marLeft w:val="0"/>
      <w:marRight w:val="0"/>
      <w:marTop w:val="0"/>
      <w:marBottom w:val="0"/>
      <w:divBdr>
        <w:top w:val="none" w:sz="0" w:space="0" w:color="auto"/>
        <w:left w:val="none" w:sz="0" w:space="0" w:color="auto"/>
        <w:bottom w:val="none" w:sz="0" w:space="0" w:color="auto"/>
        <w:right w:val="none" w:sz="0" w:space="0" w:color="auto"/>
      </w:divBdr>
    </w:div>
    <w:div w:id="67462210">
      <w:bodyDiv w:val="1"/>
      <w:marLeft w:val="0"/>
      <w:marRight w:val="0"/>
      <w:marTop w:val="0"/>
      <w:marBottom w:val="0"/>
      <w:divBdr>
        <w:top w:val="none" w:sz="0" w:space="0" w:color="auto"/>
        <w:left w:val="none" w:sz="0" w:space="0" w:color="auto"/>
        <w:bottom w:val="none" w:sz="0" w:space="0" w:color="auto"/>
        <w:right w:val="none" w:sz="0" w:space="0" w:color="auto"/>
      </w:divBdr>
    </w:div>
    <w:div w:id="80762791">
      <w:bodyDiv w:val="1"/>
      <w:marLeft w:val="0"/>
      <w:marRight w:val="0"/>
      <w:marTop w:val="0"/>
      <w:marBottom w:val="0"/>
      <w:divBdr>
        <w:top w:val="none" w:sz="0" w:space="0" w:color="auto"/>
        <w:left w:val="none" w:sz="0" w:space="0" w:color="auto"/>
        <w:bottom w:val="none" w:sz="0" w:space="0" w:color="auto"/>
        <w:right w:val="none" w:sz="0" w:space="0" w:color="auto"/>
      </w:divBdr>
    </w:div>
    <w:div w:id="127549065">
      <w:bodyDiv w:val="1"/>
      <w:marLeft w:val="0"/>
      <w:marRight w:val="0"/>
      <w:marTop w:val="0"/>
      <w:marBottom w:val="0"/>
      <w:divBdr>
        <w:top w:val="none" w:sz="0" w:space="0" w:color="auto"/>
        <w:left w:val="none" w:sz="0" w:space="0" w:color="auto"/>
        <w:bottom w:val="none" w:sz="0" w:space="0" w:color="auto"/>
        <w:right w:val="none" w:sz="0" w:space="0" w:color="auto"/>
      </w:divBdr>
    </w:div>
    <w:div w:id="169370135">
      <w:bodyDiv w:val="1"/>
      <w:marLeft w:val="0"/>
      <w:marRight w:val="0"/>
      <w:marTop w:val="0"/>
      <w:marBottom w:val="0"/>
      <w:divBdr>
        <w:top w:val="none" w:sz="0" w:space="0" w:color="auto"/>
        <w:left w:val="none" w:sz="0" w:space="0" w:color="auto"/>
        <w:bottom w:val="none" w:sz="0" w:space="0" w:color="auto"/>
        <w:right w:val="none" w:sz="0" w:space="0" w:color="auto"/>
      </w:divBdr>
    </w:div>
    <w:div w:id="182520616">
      <w:bodyDiv w:val="1"/>
      <w:marLeft w:val="0"/>
      <w:marRight w:val="0"/>
      <w:marTop w:val="0"/>
      <w:marBottom w:val="0"/>
      <w:divBdr>
        <w:top w:val="none" w:sz="0" w:space="0" w:color="auto"/>
        <w:left w:val="none" w:sz="0" w:space="0" w:color="auto"/>
        <w:bottom w:val="none" w:sz="0" w:space="0" w:color="auto"/>
        <w:right w:val="none" w:sz="0" w:space="0" w:color="auto"/>
      </w:divBdr>
    </w:div>
    <w:div w:id="184029042">
      <w:bodyDiv w:val="1"/>
      <w:marLeft w:val="0"/>
      <w:marRight w:val="0"/>
      <w:marTop w:val="0"/>
      <w:marBottom w:val="0"/>
      <w:divBdr>
        <w:top w:val="none" w:sz="0" w:space="0" w:color="auto"/>
        <w:left w:val="none" w:sz="0" w:space="0" w:color="auto"/>
        <w:bottom w:val="none" w:sz="0" w:space="0" w:color="auto"/>
        <w:right w:val="none" w:sz="0" w:space="0" w:color="auto"/>
      </w:divBdr>
    </w:div>
    <w:div w:id="186523214">
      <w:bodyDiv w:val="1"/>
      <w:marLeft w:val="0"/>
      <w:marRight w:val="0"/>
      <w:marTop w:val="0"/>
      <w:marBottom w:val="0"/>
      <w:divBdr>
        <w:top w:val="none" w:sz="0" w:space="0" w:color="auto"/>
        <w:left w:val="none" w:sz="0" w:space="0" w:color="auto"/>
        <w:bottom w:val="none" w:sz="0" w:space="0" w:color="auto"/>
        <w:right w:val="none" w:sz="0" w:space="0" w:color="auto"/>
      </w:divBdr>
    </w:div>
    <w:div w:id="191379240">
      <w:bodyDiv w:val="1"/>
      <w:marLeft w:val="0"/>
      <w:marRight w:val="0"/>
      <w:marTop w:val="0"/>
      <w:marBottom w:val="0"/>
      <w:divBdr>
        <w:top w:val="none" w:sz="0" w:space="0" w:color="auto"/>
        <w:left w:val="none" w:sz="0" w:space="0" w:color="auto"/>
        <w:bottom w:val="none" w:sz="0" w:space="0" w:color="auto"/>
        <w:right w:val="none" w:sz="0" w:space="0" w:color="auto"/>
      </w:divBdr>
    </w:div>
    <w:div w:id="219292686">
      <w:bodyDiv w:val="1"/>
      <w:marLeft w:val="0"/>
      <w:marRight w:val="0"/>
      <w:marTop w:val="0"/>
      <w:marBottom w:val="0"/>
      <w:divBdr>
        <w:top w:val="none" w:sz="0" w:space="0" w:color="auto"/>
        <w:left w:val="none" w:sz="0" w:space="0" w:color="auto"/>
        <w:bottom w:val="none" w:sz="0" w:space="0" w:color="auto"/>
        <w:right w:val="none" w:sz="0" w:space="0" w:color="auto"/>
      </w:divBdr>
    </w:div>
    <w:div w:id="233131565">
      <w:bodyDiv w:val="1"/>
      <w:marLeft w:val="0"/>
      <w:marRight w:val="0"/>
      <w:marTop w:val="0"/>
      <w:marBottom w:val="0"/>
      <w:divBdr>
        <w:top w:val="none" w:sz="0" w:space="0" w:color="auto"/>
        <w:left w:val="none" w:sz="0" w:space="0" w:color="auto"/>
        <w:bottom w:val="none" w:sz="0" w:space="0" w:color="auto"/>
        <w:right w:val="none" w:sz="0" w:space="0" w:color="auto"/>
      </w:divBdr>
    </w:div>
    <w:div w:id="249244603">
      <w:bodyDiv w:val="1"/>
      <w:marLeft w:val="0"/>
      <w:marRight w:val="0"/>
      <w:marTop w:val="0"/>
      <w:marBottom w:val="0"/>
      <w:divBdr>
        <w:top w:val="none" w:sz="0" w:space="0" w:color="auto"/>
        <w:left w:val="none" w:sz="0" w:space="0" w:color="auto"/>
        <w:bottom w:val="none" w:sz="0" w:space="0" w:color="auto"/>
        <w:right w:val="none" w:sz="0" w:space="0" w:color="auto"/>
      </w:divBdr>
    </w:div>
    <w:div w:id="265041694">
      <w:bodyDiv w:val="1"/>
      <w:marLeft w:val="0"/>
      <w:marRight w:val="0"/>
      <w:marTop w:val="0"/>
      <w:marBottom w:val="0"/>
      <w:divBdr>
        <w:top w:val="none" w:sz="0" w:space="0" w:color="auto"/>
        <w:left w:val="none" w:sz="0" w:space="0" w:color="auto"/>
        <w:bottom w:val="none" w:sz="0" w:space="0" w:color="auto"/>
        <w:right w:val="none" w:sz="0" w:space="0" w:color="auto"/>
      </w:divBdr>
    </w:div>
    <w:div w:id="270750054">
      <w:bodyDiv w:val="1"/>
      <w:marLeft w:val="0"/>
      <w:marRight w:val="0"/>
      <w:marTop w:val="0"/>
      <w:marBottom w:val="0"/>
      <w:divBdr>
        <w:top w:val="none" w:sz="0" w:space="0" w:color="auto"/>
        <w:left w:val="none" w:sz="0" w:space="0" w:color="auto"/>
        <w:bottom w:val="none" w:sz="0" w:space="0" w:color="auto"/>
        <w:right w:val="none" w:sz="0" w:space="0" w:color="auto"/>
      </w:divBdr>
    </w:div>
    <w:div w:id="299268453">
      <w:bodyDiv w:val="1"/>
      <w:marLeft w:val="0"/>
      <w:marRight w:val="0"/>
      <w:marTop w:val="0"/>
      <w:marBottom w:val="0"/>
      <w:divBdr>
        <w:top w:val="none" w:sz="0" w:space="0" w:color="auto"/>
        <w:left w:val="none" w:sz="0" w:space="0" w:color="auto"/>
        <w:bottom w:val="none" w:sz="0" w:space="0" w:color="auto"/>
        <w:right w:val="none" w:sz="0" w:space="0" w:color="auto"/>
      </w:divBdr>
    </w:div>
    <w:div w:id="319964398">
      <w:bodyDiv w:val="1"/>
      <w:marLeft w:val="0"/>
      <w:marRight w:val="0"/>
      <w:marTop w:val="0"/>
      <w:marBottom w:val="0"/>
      <w:divBdr>
        <w:top w:val="none" w:sz="0" w:space="0" w:color="auto"/>
        <w:left w:val="none" w:sz="0" w:space="0" w:color="auto"/>
        <w:bottom w:val="none" w:sz="0" w:space="0" w:color="auto"/>
        <w:right w:val="none" w:sz="0" w:space="0" w:color="auto"/>
      </w:divBdr>
    </w:div>
    <w:div w:id="322322816">
      <w:bodyDiv w:val="1"/>
      <w:marLeft w:val="0"/>
      <w:marRight w:val="0"/>
      <w:marTop w:val="0"/>
      <w:marBottom w:val="0"/>
      <w:divBdr>
        <w:top w:val="none" w:sz="0" w:space="0" w:color="auto"/>
        <w:left w:val="none" w:sz="0" w:space="0" w:color="auto"/>
        <w:bottom w:val="none" w:sz="0" w:space="0" w:color="auto"/>
        <w:right w:val="none" w:sz="0" w:space="0" w:color="auto"/>
      </w:divBdr>
    </w:div>
    <w:div w:id="329141928">
      <w:bodyDiv w:val="1"/>
      <w:marLeft w:val="0"/>
      <w:marRight w:val="0"/>
      <w:marTop w:val="0"/>
      <w:marBottom w:val="0"/>
      <w:divBdr>
        <w:top w:val="none" w:sz="0" w:space="0" w:color="auto"/>
        <w:left w:val="none" w:sz="0" w:space="0" w:color="auto"/>
        <w:bottom w:val="none" w:sz="0" w:space="0" w:color="auto"/>
        <w:right w:val="none" w:sz="0" w:space="0" w:color="auto"/>
      </w:divBdr>
    </w:div>
    <w:div w:id="349382177">
      <w:bodyDiv w:val="1"/>
      <w:marLeft w:val="0"/>
      <w:marRight w:val="0"/>
      <w:marTop w:val="0"/>
      <w:marBottom w:val="0"/>
      <w:divBdr>
        <w:top w:val="none" w:sz="0" w:space="0" w:color="auto"/>
        <w:left w:val="none" w:sz="0" w:space="0" w:color="auto"/>
        <w:bottom w:val="none" w:sz="0" w:space="0" w:color="auto"/>
        <w:right w:val="none" w:sz="0" w:space="0" w:color="auto"/>
      </w:divBdr>
    </w:div>
    <w:div w:id="350839998">
      <w:bodyDiv w:val="1"/>
      <w:marLeft w:val="0"/>
      <w:marRight w:val="0"/>
      <w:marTop w:val="0"/>
      <w:marBottom w:val="0"/>
      <w:divBdr>
        <w:top w:val="none" w:sz="0" w:space="0" w:color="auto"/>
        <w:left w:val="none" w:sz="0" w:space="0" w:color="auto"/>
        <w:bottom w:val="none" w:sz="0" w:space="0" w:color="auto"/>
        <w:right w:val="none" w:sz="0" w:space="0" w:color="auto"/>
      </w:divBdr>
    </w:div>
    <w:div w:id="359165199">
      <w:bodyDiv w:val="1"/>
      <w:marLeft w:val="0"/>
      <w:marRight w:val="0"/>
      <w:marTop w:val="0"/>
      <w:marBottom w:val="0"/>
      <w:divBdr>
        <w:top w:val="none" w:sz="0" w:space="0" w:color="auto"/>
        <w:left w:val="none" w:sz="0" w:space="0" w:color="auto"/>
        <w:bottom w:val="none" w:sz="0" w:space="0" w:color="auto"/>
        <w:right w:val="none" w:sz="0" w:space="0" w:color="auto"/>
      </w:divBdr>
    </w:div>
    <w:div w:id="366680709">
      <w:bodyDiv w:val="1"/>
      <w:marLeft w:val="0"/>
      <w:marRight w:val="0"/>
      <w:marTop w:val="0"/>
      <w:marBottom w:val="0"/>
      <w:divBdr>
        <w:top w:val="none" w:sz="0" w:space="0" w:color="auto"/>
        <w:left w:val="none" w:sz="0" w:space="0" w:color="auto"/>
        <w:bottom w:val="none" w:sz="0" w:space="0" w:color="auto"/>
        <w:right w:val="none" w:sz="0" w:space="0" w:color="auto"/>
      </w:divBdr>
    </w:div>
    <w:div w:id="393046055">
      <w:bodyDiv w:val="1"/>
      <w:marLeft w:val="0"/>
      <w:marRight w:val="0"/>
      <w:marTop w:val="0"/>
      <w:marBottom w:val="0"/>
      <w:divBdr>
        <w:top w:val="none" w:sz="0" w:space="0" w:color="auto"/>
        <w:left w:val="none" w:sz="0" w:space="0" w:color="auto"/>
        <w:bottom w:val="none" w:sz="0" w:space="0" w:color="auto"/>
        <w:right w:val="none" w:sz="0" w:space="0" w:color="auto"/>
      </w:divBdr>
    </w:div>
    <w:div w:id="409273750">
      <w:bodyDiv w:val="1"/>
      <w:marLeft w:val="0"/>
      <w:marRight w:val="0"/>
      <w:marTop w:val="0"/>
      <w:marBottom w:val="0"/>
      <w:divBdr>
        <w:top w:val="none" w:sz="0" w:space="0" w:color="auto"/>
        <w:left w:val="none" w:sz="0" w:space="0" w:color="auto"/>
        <w:bottom w:val="none" w:sz="0" w:space="0" w:color="auto"/>
        <w:right w:val="none" w:sz="0" w:space="0" w:color="auto"/>
      </w:divBdr>
    </w:div>
    <w:div w:id="485322707">
      <w:bodyDiv w:val="1"/>
      <w:marLeft w:val="0"/>
      <w:marRight w:val="0"/>
      <w:marTop w:val="0"/>
      <w:marBottom w:val="0"/>
      <w:divBdr>
        <w:top w:val="none" w:sz="0" w:space="0" w:color="auto"/>
        <w:left w:val="none" w:sz="0" w:space="0" w:color="auto"/>
        <w:bottom w:val="none" w:sz="0" w:space="0" w:color="auto"/>
        <w:right w:val="none" w:sz="0" w:space="0" w:color="auto"/>
      </w:divBdr>
    </w:div>
    <w:div w:id="528026225">
      <w:bodyDiv w:val="1"/>
      <w:marLeft w:val="0"/>
      <w:marRight w:val="0"/>
      <w:marTop w:val="0"/>
      <w:marBottom w:val="0"/>
      <w:divBdr>
        <w:top w:val="none" w:sz="0" w:space="0" w:color="auto"/>
        <w:left w:val="none" w:sz="0" w:space="0" w:color="auto"/>
        <w:bottom w:val="none" w:sz="0" w:space="0" w:color="auto"/>
        <w:right w:val="none" w:sz="0" w:space="0" w:color="auto"/>
      </w:divBdr>
    </w:div>
    <w:div w:id="536235285">
      <w:bodyDiv w:val="1"/>
      <w:marLeft w:val="0"/>
      <w:marRight w:val="0"/>
      <w:marTop w:val="0"/>
      <w:marBottom w:val="0"/>
      <w:divBdr>
        <w:top w:val="none" w:sz="0" w:space="0" w:color="auto"/>
        <w:left w:val="none" w:sz="0" w:space="0" w:color="auto"/>
        <w:bottom w:val="none" w:sz="0" w:space="0" w:color="auto"/>
        <w:right w:val="none" w:sz="0" w:space="0" w:color="auto"/>
      </w:divBdr>
    </w:div>
    <w:div w:id="557283375">
      <w:bodyDiv w:val="1"/>
      <w:marLeft w:val="0"/>
      <w:marRight w:val="0"/>
      <w:marTop w:val="0"/>
      <w:marBottom w:val="0"/>
      <w:divBdr>
        <w:top w:val="none" w:sz="0" w:space="0" w:color="auto"/>
        <w:left w:val="none" w:sz="0" w:space="0" w:color="auto"/>
        <w:bottom w:val="none" w:sz="0" w:space="0" w:color="auto"/>
        <w:right w:val="none" w:sz="0" w:space="0" w:color="auto"/>
      </w:divBdr>
    </w:div>
    <w:div w:id="561601416">
      <w:bodyDiv w:val="1"/>
      <w:marLeft w:val="0"/>
      <w:marRight w:val="0"/>
      <w:marTop w:val="0"/>
      <w:marBottom w:val="0"/>
      <w:divBdr>
        <w:top w:val="none" w:sz="0" w:space="0" w:color="auto"/>
        <w:left w:val="none" w:sz="0" w:space="0" w:color="auto"/>
        <w:bottom w:val="none" w:sz="0" w:space="0" w:color="auto"/>
        <w:right w:val="none" w:sz="0" w:space="0" w:color="auto"/>
      </w:divBdr>
    </w:div>
    <w:div w:id="561789317">
      <w:bodyDiv w:val="1"/>
      <w:marLeft w:val="0"/>
      <w:marRight w:val="0"/>
      <w:marTop w:val="0"/>
      <w:marBottom w:val="0"/>
      <w:divBdr>
        <w:top w:val="none" w:sz="0" w:space="0" w:color="auto"/>
        <w:left w:val="none" w:sz="0" w:space="0" w:color="auto"/>
        <w:bottom w:val="none" w:sz="0" w:space="0" w:color="auto"/>
        <w:right w:val="none" w:sz="0" w:space="0" w:color="auto"/>
      </w:divBdr>
    </w:div>
    <w:div w:id="570967154">
      <w:bodyDiv w:val="1"/>
      <w:marLeft w:val="0"/>
      <w:marRight w:val="0"/>
      <w:marTop w:val="0"/>
      <w:marBottom w:val="0"/>
      <w:divBdr>
        <w:top w:val="none" w:sz="0" w:space="0" w:color="auto"/>
        <w:left w:val="none" w:sz="0" w:space="0" w:color="auto"/>
        <w:bottom w:val="none" w:sz="0" w:space="0" w:color="auto"/>
        <w:right w:val="none" w:sz="0" w:space="0" w:color="auto"/>
      </w:divBdr>
    </w:div>
    <w:div w:id="575014994">
      <w:bodyDiv w:val="1"/>
      <w:marLeft w:val="0"/>
      <w:marRight w:val="0"/>
      <w:marTop w:val="0"/>
      <w:marBottom w:val="0"/>
      <w:divBdr>
        <w:top w:val="none" w:sz="0" w:space="0" w:color="auto"/>
        <w:left w:val="none" w:sz="0" w:space="0" w:color="auto"/>
        <w:bottom w:val="none" w:sz="0" w:space="0" w:color="auto"/>
        <w:right w:val="none" w:sz="0" w:space="0" w:color="auto"/>
      </w:divBdr>
    </w:div>
    <w:div w:id="585574956">
      <w:bodyDiv w:val="1"/>
      <w:marLeft w:val="0"/>
      <w:marRight w:val="0"/>
      <w:marTop w:val="0"/>
      <w:marBottom w:val="0"/>
      <w:divBdr>
        <w:top w:val="none" w:sz="0" w:space="0" w:color="auto"/>
        <w:left w:val="none" w:sz="0" w:space="0" w:color="auto"/>
        <w:bottom w:val="none" w:sz="0" w:space="0" w:color="auto"/>
        <w:right w:val="none" w:sz="0" w:space="0" w:color="auto"/>
      </w:divBdr>
    </w:div>
    <w:div w:id="594215945">
      <w:bodyDiv w:val="1"/>
      <w:marLeft w:val="0"/>
      <w:marRight w:val="0"/>
      <w:marTop w:val="0"/>
      <w:marBottom w:val="0"/>
      <w:divBdr>
        <w:top w:val="none" w:sz="0" w:space="0" w:color="auto"/>
        <w:left w:val="none" w:sz="0" w:space="0" w:color="auto"/>
        <w:bottom w:val="none" w:sz="0" w:space="0" w:color="auto"/>
        <w:right w:val="none" w:sz="0" w:space="0" w:color="auto"/>
      </w:divBdr>
    </w:div>
    <w:div w:id="608315205">
      <w:bodyDiv w:val="1"/>
      <w:marLeft w:val="0"/>
      <w:marRight w:val="0"/>
      <w:marTop w:val="0"/>
      <w:marBottom w:val="0"/>
      <w:divBdr>
        <w:top w:val="none" w:sz="0" w:space="0" w:color="auto"/>
        <w:left w:val="none" w:sz="0" w:space="0" w:color="auto"/>
        <w:bottom w:val="none" w:sz="0" w:space="0" w:color="auto"/>
        <w:right w:val="none" w:sz="0" w:space="0" w:color="auto"/>
      </w:divBdr>
    </w:div>
    <w:div w:id="645935506">
      <w:bodyDiv w:val="1"/>
      <w:marLeft w:val="0"/>
      <w:marRight w:val="0"/>
      <w:marTop w:val="0"/>
      <w:marBottom w:val="0"/>
      <w:divBdr>
        <w:top w:val="none" w:sz="0" w:space="0" w:color="auto"/>
        <w:left w:val="none" w:sz="0" w:space="0" w:color="auto"/>
        <w:bottom w:val="none" w:sz="0" w:space="0" w:color="auto"/>
        <w:right w:val="none" w:sz="0" w:space="0" w:color="auto"/>
      </w:divBdr>
    </w:div>
    <w:div w:id="646007711">
      <w:bodyDiv w:val="1"/>
      <w:marLeft w:val="0"/>
      <w:marRight w:val="0"/>
      <w:marTop w:val="0"/>
      <w:marBottom w:val="0"/>
      <w:divBdr>
        <w:top w:val="none" w:sz="0" w:space="0" w:color="auto"/>
        <w:left w:val="none" w:sz="0" w:space="0" w:color="auto"/>
        <w:bottom w:val="none" w:sz="0" w:space="0" w:color="auto"/>
        <w:right w:val="none" w:sz="0" w:space="0" w:color="auto"/>
      </w:divBdr>
    </w:div>
    <w:div w:id="683441296">
      <w:bodyDiv w:val="1"/>
      <w:marLeft w:val="0"/>
      <w:marRight w:val="0"/>
      <w:marTop w:val="0"/>
      <w:marBottom w:val="0"/>
      <w:divBdr>
        <w:top w:val="none" w:sz="0" w:space="0" w:color="auto"/>
        <w:left w:val="none" w:sz="0" w:space="0" w:color="auto"/>
        <w:bottom w:val="none" w:sz="0" w:space="0" w:color="auto"/>
        <w:right w:val="none" w:sz="0" w:space="0" w:color="auto"/>
      </w:divBdr>
    </w:div>
    <w:div w:id="704987064">
      <w:bodyDiv w:val="1"/>
      <w:marLeft w:val="0"/>
      <w:marRight w:val="0"/>
      <w:marTop w:val="0"/>
      <w:marBottom w:val="0"/>
      <w:divBdr>
        <w:top w:val="none" w:sz="0" w:space="0" w:color="auto"/>
        <w:left w:val="none" w:sz="0" w:space="0" w:color="auto"/>
        <w:bottom w:val="none" w:sz="0" w:space="0" w:color="auto"/>
        <w:right w:val="none" w:sz="0" w:space="0" w:color="auto"/>
      </w:divBdr>
    </w:div>
    <w:div w:id="708845533">
      <w:bodyDiv w:val="1"/>
      <w:marLeft w:val="0"/>
      <w:marRight w:val="0"/>
      <w:marTop w:val="0"/>
      <w:marBottom w:val="0"/>
      <w:divBdr>
        <w:top w:val="none" w:sz="0" w:space="0" w:color="auto"/>
        <w:left w:val="none" w:sz="0" w:space="0" w:color="auto"/>
        <w:bottom w:val="none" w:sz="0" w:space="0" w:color="auto"/>
        <w:right w:val="none" w:sz="0" w:space="0" w:color="auto"/>
      </w:divBdr>
    </w:div>
    <w:div w:id="710765534">
      <w:bodyDiv w:val="1"/>
      <w:marLeft w:val="0"/>
      <w:marRight w:val="0"/>
      <w:marTop w:val="0"/>
      <w:marBottom w:val="0"/>
      <w:divBdr>
        <w:top w:val="none" w:sz="0" w:space="0" w:color="auto"/>
        <w:left w:val="none" w:sz="0" w:space="0" w:color="auto"/>
        <w:bottom w:val="none" w:sz="0" w:space="0" w:color="auto"/>
        <w:right w:val="none" w:sz="0" w:space="0" w:color="auto"/>
      </w:divBdr>
    </w:div>
    <w:div w:id="758139894">
      <w:bodyDiv w:val="1"/>
      <w:marLeft w:val="0"/>
      <w:marRight w:val="0"/>
      <w:marTop w:val="0"/>
      <w:marBottom w:val="0"/>
      <w:divBdr>
        <w:top w:val="none" w:sz="0" w:space="0" w:color="auto"/>
        <w:left w:val="none" w:sz="0" w:space="0" w:color="auto"/>
        <w:bottom w:val="none" w:sz="0" w:space="0" w:color="auto"/>
        <w:right w:val="none" w:sz="0" w:space="0" w:color="auto"/>
      </w:divBdr>
    </w:div>
    <w:div w:id="758257114">
      <w:bodyDiv w:val="1"/>
      <w:marLeft w:val="0"/>
      <w:marRight w:val="0"/>
      <w:marTop w:val="0"/>
      <w:marBottom w:val="0"/>
      <w:divBdr>
        <w:top w:val="none" w:sz="0" w:space="0" w:color="auto"/>
        <w:left w:val="none" w:sz="0" w:space="0" w:color="auto"/>
        <w:bottom w:val="none" w:sz="0" w:space="0" w:color="auto"/>
        <w:right w:val="none" w:sz="0" w:space="0" w:color="auto"/>
      </w:divBdr>
    </w:div>
    <w:div w:id="779228181">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26480302">
      <w:bodyDiv w:val="1"/>
      <w:marLeft w:val="0"/>
      <w:marRight w:val="0"/>
      <w:marTop w:val="0"/>
      <w:marBottom w:val="0"/>
      <w:divBdr>
        <w:top w:val="none" w:sz="0" w:space="0" w:color="auto"/>
        <w:left w:val="none" w:sz="0" w:space="0" w:color="auto"/>
        <w:bottom w:val="none" w:sz="0" w:space="0" w:color="auto"/>
        <w:right w:val="none" w:sz="0" w:space="0" w:color="auto"/>
      </w:divBdr>
    </w:div>
    <w:div w:id="844243490">
      <w:bodyDiv w:val="1"/>
      <w:marLeft w:val="0"/>
      <w:marRight w:val="0"/>
      <w:marTop w:val="0"/>
      <w:marBottom w:val="0"/>
      <w:divBdr>
        <w:top w:val="none" w:sz="0" w:space="0" w:color="auto"/>
        <w:left w:val="none" w:sz="0" w:space="0" w:color="auto"/>
        <w:bottom w:val="none" w:sz="0" w:space="0" w:color="auto"/>
        <w:right w:val="none" w:sz="0" w:space="0" w:color="auto"/>
      </w:divBdr>
    </w:div>
    <w:div w:id="871460939">
      <w:bodyDiv w:val="1"/>
      <w:marLeft w:val="0"/>
      <w:marRight w:val="0"/>
      <w:marTop w:val="0"/>
      <w:marBottom w:val="0"/>
      <w:divBdr>
        <w:top w:val="none" w:sz="0" w:space="0" w:color="auto"/>
        <w:left w:val="none" w:sz="0" w:space="0" w:color="auto"/>
        <w:bottom w:val="none" w:sz="0" w:space="0" w:color="auto"/>
        <w:right w:val="none" w:sz="0" w:space="0" w:color="auto"/>
      </w:divBdr>
    </w:div>
    <w:div w:id="872185760">
      <w:bodyDiv w:val="1"/>
      <w:marLeft w:val="0"/>
      <w:marRight w:val="0"/>
      <w:marTop w:val="0"/>
      <w:marBottom w:val="0"/>
      <w:divBdr>
        <w:top w:val="none" w:sz="0" w:space="0" w:color="auto"/>
        <w:left w:val="none" w:sz="0" w:space="0" w:color="auto"/>
        <w:bottom w:val="none" w:sz="0" w:space="0" w:color="auto"/>
        <w:right w:val="none" w:sz="0" w:space="0" w:color="auto"/>
      </w:divBdr>
    </w:div>
    <w:div w:id="875047038">
      <w:bodyDiv w:val="1"/>
      <w:marLeft w:val="0"/>
      <w:marRight w:val="0"/>
      <w:marTop w:val="0"/>
      <w:marBottom w:val="0"/>
      <w:divBdr>
        <w:top w:val="none" w:sz="0" w:space="0" w:color="auto"/>
        <w:left w:val="none" w:sz="0" w:space="0" w:color="auto"/>
        <w:bottom w:val="none" w:sz="0" w:space="0" w:color="auto"/>
        <w:right w:val="none" w:sz="0" w:space="0" w:color="auto"/>
      </w:divBdr>
      <w:divsChild>
        <w:div w:id="188502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8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58296">
      <w:bodyDiv w:val="1"/>
      <w:marLeft w:val="0"/>
      <w:marRight w:val="0"/>
      <w:marTop w:val="0"/>
      <w:marBottom w:val="0"/>
      <w:divBdr>
        <w:top w:val="none" w:sz="0" w:space="0" w:color="auto"/>
        <w:left w:val="none" w:sz="0" w:space="0" w:color="auto"/>
        <w:bottom w:val="none" w:sz="0" w:space="0" w:color="auto"/>
        <w:right w:val="none" w:sz="0" w:space="0" w:color="auto"/>
      </w:divBdr>
    </w:div>
    <w:div w:id="936982600">
      <w:bodyDiv w:val="1"/>
      <w:marLeft w:val="0"/>
      <w:marRight w:val="0"/>
      <w:marTop w:val="0"/>
      <w:marBottom w:val="0"/>
      <w:divBdr>
        <w:top w:val="none" w:sz="0" w:space="0" w:color="auto"/>
        <w:left w:val="none" w:sz="0" w:space="0" w:color="auto"/>
        <w:bottom w:val="none" w:sz="0" w:space="0" w:color="auto"/>
        <w:right w:val="none" w:sz="0" w:space="0" w:color="auto"/>
      </w:divBdr>
    </w:div>
    <w:div w:id="937255996">
      <w:bodyDiv w:val="1"/>
      <w:marLeft w:val="0"/>
      <w:marRight w:val="0"/>
      <w:marTop w:val="0"/>
      <w:marBottom w:val="0"/>
      <w:divBdr>
        <w:top w:val="none" w:sz="0" w:space="0" w:color="auto"/>
        <w:left w:val="none" w:sz="0" w:space="0" w:color="auto"/>
        <w:bottom w:val="none" w:sz="0" w:space="0" w:color="auto"/>
        <w:right w:val="none" w:sz="0" w:space="0" w:color="auto"/>
      </w:divBdr>
    </w:div>
    <w:div w:id="948128423">
      <w:bodyDiv w:val="1"/>
      <w:marLeft w:val="0"/>
      <w:marRight w:val="0"/>
      <w:marTop w:val="0"/>
      <w:marBottom w:val="0"/>
      <w:divBdr>
        <w:top w:val="none" w:sz="0" w:space="0" w:color="auto"/>
        <w:left w:val="none" w:sz="0" w:space="0" w:color="auto"/>
        <w:bottom w:val="none" w:sz="0" w:space="0" w:color="auto"/>
        <w:right w:val="none" w:sz="0" w:space="0" w:color="auto"/>
      </w:divBdr>
    </w:div>
    <w:div w:id="948899517">
      <w:bodyDiv w:val="1"/>
      <w:marLeft w:val="0"/>
      <w:marRight w:val="0"/>
      <w:marTop w:val="0"/>
      <w:marBottom w:val="0"/>
      <w:divBdr>
        <w:top w:val="none" w:sz="0" w:space="0" w:color="auto"/>
        <w:left w:val="none" w:sz="0" w:space="0" w:color="auto"/>
        <w:bottom w:val="none" w:sz="0" w:space="0" w:color="auto"/>
        <w:right w:val="none" w:sz="0" w:space="0" w:color="auto"/>
      </w:divBdr>
    </w:div>
    <w:div w:id="974338081">
      <w:bodyDiv w:val="1"/>
      <w:marLeft w:val="0"/>
      <w:marRight w:val="0"/>
      <w:marTop w:val="0"/>
      <w:marBottom w:val="0"/>
      <w:divBdr>
        <w:top w:val="none" w:sz="0" w:space="0" w:color="auto"/>
        <w:left w:val="none" w:sz="0" w:space="0" w:color="auto"/>
        <w:bottom w:val="none" w:sz="0" w:space="0" w:color="auto"/>
        <w:right w:val="none" w:sz="0" w:space="0" w:color="auto"/>
      </w:divBdr>
    </w:div>
    <w:div w:id="989481664">
      <w:bodyDiv w:val="1"/>
      <w:marLeft w:val="0"/>
      <w:marRight w:val="0"/>
      <w:marTop w:val="0"/>
      <w:marBottom w:val="0"/>
      <w:divBdr>
        <w:top w:val="none" w:sz="0" w:space="0" w:color="auto"/>
        <w:left w:val="none" w:sz="0" w:space="0" w:color="auto"/>
        <w:bottom w:val="none" w:sz="0" w:space="0" w:color="auto"/>
        <w:right w:val="none" w:sz="0" w:space="0" w:color="auto"/>
      </w:divBdr>
    </w:div>
    <w:div w:id="999382964">
      <w:bodyDiv w:val="1"/>
      <w:marLeft w:val="0"/>
      <w:marRight w:val="0"/>
      <w:marTop w:val="0"/>
      <w:marBottom w:val="0"/>
      <w:divBdr>
        <w:top w:val="none" w:sz="0" w:space="0" w:color="auto"/>
        <w:left w:val="none" w:sz="0" w:space="0" w:color="auto"/>
        <w:bottom w:val="none" w:sz="0" w:space="0" w:color="auto"/>
        <w:right w:val="none" w:sz="0" w:space="0" w:color="auto"/>
      </w:divBdr>
    </w:div>
    <w:div w:id="1011570332">
      <w:bodyDiv w:val="1"/>
      <w:marLeft w:val="0"/>
      <w:marRight w:val="0"/>
      <w:marTop w:val="0"/>
      <w:marBottom w:val="0"/>
      <w:divBdr>
        <w:top w:val="none" w:sz="0" w:space="0" w:color="auto"/>
        <w:left w:val="none" w:sz="0" w:space="0" w:color="auto"/>
        <w:bottom w:val="none" w:sz="0" w:space="0" w:color="auto"/>
        <w:right w:val="none" w:sz="0" w:space="0" w:color="auto"/>
      </w:divBdr>
    </w:div>
    <w:div w:id="1046829825">
      <w:bodyDiv w:val="1"/>
      <w:marLeft w:val="0"/>
      <w:marRight w:val="0"/>
      <w:marTop w:val="0"/>
      <w:marBottom w:val="0"/>
      <w:divBdr>
        <w:top w:val="none" w:sz="0" w:space="0" w:color="auto"/>
        <w:left w:val="none" w:sz="0" w:space="0" w:color="auto"/>
        <w:bottom w:val="none" w:sz="0" w:space="0" w:color="auto"/>
        <w:right w:val="none" w:sz="0" w:space="0" w:color="auto"/>
      </w:divBdr>
    </w:div>
    <w:div w:id="1049770378">
      <w:bodyDiv w:val="1"/>
      <w:marLeft w:val="0"/>
      <w:marRight w:val="0"/>
      <w:marTop w:val="0"/>
      <w:marBottom w:val="0"/>
      <w:divBdr>
        <w:top w:val="none" w:sz="0" w:space="0" w:color="auto"/>
        <w:left w:val="none" w:sz="0" w:space="0" w:color="auto"/>
        <w:bottom w:val="none" w:sz="0" w:space="0" w:color="auto"/>
        <w:right w:val="none" w:sz="0" w:space="0" w:color="auto"/>
      </w:divBdr>
    </w:div>
    <w:div w:id="1062950096">
      <w:bodyDiv w:val="1"/>
      <w:marLeft w:val="0"/>
      <w:marRight w:val="0"/>
      <w:marTop w:val="0"/>
      <w:marBottom w:val="0"/>
      <w:divBdr>
        <w:top w:val="none" w:sz="0" w:space="0" w:color="auto"/>
        <w:left w:val="none" w:sz="0" w:space="0" w:color="auto"/>
        <w:bottom w:val="none" w:sz="0" w:space="0" w:color="auto"/>
        <w:right w:val="none" w:sz="0" w:space="0" w:color="auto"/>
      </w:divBdr>
    </w:div>
    <w:div w:id="1075975120">
      <w:bodyDiv w:val="1"/>
      <w:marLeft w:val="0"/>
      <w:marRight w:val="0"/>
      <w:marTop w:val="0"/>
      <w:marBottom w:val="0"/>
      <w:divBdr>
        <w:top w:val="none" w:sz="0" w:space="0" w:color="auto"/>
        <w:left w:val="none" w:sz="0" w:space="0" w:color="auto"/>
        <w:bottom w:val="none" w:sz="0" w:space="0" w:color="auto"/>
        <w:right w:val="none" w:sz="0" w:space="0" w:color="auto"/>
      </w:divBdr>
    </w:div>
    <w:div w:id="1081175753">
      <w:bodyDiv w:val="1"/>
      <w:marLeft w:val="0"/>
      <w:marRight w:val="0"/>
      <w:marTop w:val="0"/>
      <w:marBottom w:val="0"/>
      <w:divBdr>
        <w:top w:val="none" w:sz="0" w:space="0" w:color="auto"/>
        <w:left w:val="none" w:sz="0" w:space="0" w:color="auto"/>
        <w:bottom w:val="none" w:sz="0" w:space="0" w:color="auto"/>
        <w:right w:val="none" w:sz="0" w:space="0" w:color="auto"/>
      </w:divBdr>
    </w:div>
    <w:div w:id="1082678191">
      <w:bodyDiv w:val="1"/>
      <w:marLeft w:val="0"/>
      <w:marRight w:val="0"/>
      <w:marTop w:val="0"/>
      <w:marBottom w:val="0"/>
      <w:divBdr>
        <w:top w:val="none" w:sz="0" w:space="0" w:color="auto"/>
        <w:left w:val="none" w:sz="0" w:space="0" w:color="auto"/>
        <w:bottom w:val="none" w:sz="0" w:space="0" w:color="auto"/>
        <w:right w:val="none" w:sz="0" w:space="0" w:color="auto"/>
      </w:divBdr>
    </w:div>
    <w:div w:id="1093823849">
      <w:bodyDiv w:val="1"/>
      <w:marLeft w:val="0"/>
      <w:marRight w:val="0"/>
      <w:marTop w:val="0"/>
      <w:marBottom w:val="0"/>
      <w:divBdr>
        <w:top w:val="none" w:sz="0" w:space="0" w:color="auto"/>
        <w:left w:val="none" w:sz="0" w:space="0" w:color="auto"/>
        <w:bottom w:val="none" w:sz="0" w:space="0" w:color="auto"/>
        <w:right w:val="none" w:sz="0" w:space="0" w:color="auto"/>
      </w:divBdr>
    </w:div>
    <w:div w:id="1171067200">
      <w:bodyDiv w:val="1"/>
      <w:marLeft w:val="0"/>
      <w:marRight w:val="0"/>
      <w:marTop w:val="0"/>
      <w:marBottom w:val="0"/>
      <w:divBdr>
        <w:top w:val="none" w:sz="0" w:space="0" w:color="auto"/>
        <w:left w:val="none" w:sz="0" w:space="0" w:color="auto"/>
        <w:bottom w:val="none" w:sz="0" w:space="0" w:color="auto"/>
        <w:right w:val="none" w:sz="0" w:space="0" w:color="auto"/>
      </w:divBdr>
    </w:div>
    <w:div w:id="1174304188">
      <w:bodyDiv w:val="1"/>
      <w:marLeft w:val="0"/>
      <w:marRight w:val="0"/>
      <w:marTop w:val="0"/>
      <w:marBottom w:val="0"/>
      <w:divBdr>
        <w:top w:val="none" w:sz="0" w:space="0" w:color="auto"/>
        <w:left w:val="none" w:sz="0" w:space="0" w:color="auto"/>
        <w:bottom w:val="none" w:sz="0" w:space="0" w:color="auto"/>
        <w:right w:val="none" w:sz="0" w:space="0" w:color="auto"/>
      </w:divBdr>
    </w:div>
    <w:div w:id="1201283619">
      <w:bodyDiv w:val="1"/>
      <w:marLeft w:val="0"/>
      <w:marRight w:val="0"/>
      <w:marTop w:val="0"/>
      <w:marBottom w:val="0"/>
      <w:divBdr>
        <w:top w:val="none" w:sz="0" w:space="0" w:color="auto"/>
        <w:left w:val="none" w:sz="0" w:space="0" w:color="auto"/>
        <w:bottom w:val="none" w:sz="0" w:space="0" w:color="auto"/>
        <w:right w:val="none" w:sz="0" w:space="0" w:color="auto"/>
      </w:divBdr>
    </w:div>
    <w:div w:id="1212839179">
      <w:bodyDiv w:val="1"/>
      <w:marLeft w:val="0"/>
      <w:marRight w:val="0"/>
      <w:marTop w:val="0"/>
      <w:marBottom w:val="0"/>
      <w:divBdr>
        <w:top w:val="none" w:sz="0" w:space="0" w:color="auto"/>
        <w:left w:val="none" w:sz="0" w:space="0" w:color="auto"/>
        <w:bottom w:val="none" w:sz="0" w:space="0" w:color="auto"/>
        <w:right w:val="none" w:sz="0" w:space="0" w:color="auto"/>
      </w:divBdr>
    </w:div>
    <w:div w:id="1237008848">
      <w:bodyDiv w:val="1"/>
      <w:marLeft w:val="0"/>
      <w:marRight w:val="0"/>
      <w:marTop w:val="0"/>
      <w:marBottom w:val="0"/>
      <w:divBdr>
        <w:top w:val="none" w:sz="0" w:space="0" w:color="auto"/>
        <w:left w:val="none" w:sz="0" w:space="0" w:color="auto"/>
        <w:bottom w:val="none" w:sz="0" w:space="0" w:color="auto"/>
        <w:right w:val="none" w:sz="0" w:space="0" w:color="auto"/>
      </w:divBdr>
    </w:div>
    <w:div w:id="1243949950">
      <w:bodyDiv w:val="1"/>
      <w:marLeft w:val="0"/>
      <w:marRight w:val="0"/>
      <w:marTop w:val="0"/>
      <w:marBottom w:val="0"/>
      <w:divBdr>
        <w:top w:val="none" w:sz="0" w:space="0" w:color="auto"/>
        <w:left w:val="none" w:sz="0" w:space="0" w:color="auto"/>
        <w:bottom w:val="none" w:sz="0" w:space="0" w:color="auto"/>
        <w:right w:val="none" w:sz="0" w:space="0" w:color="auto"/>
      </w:divBdr>
    </w:div>
    <w:div w:id="1281649220">
      <w:bodyDiv w:val="1"/>
      <w:marLeft w:val="0"/>
      <w:marRight w:val="0"/>
      <w:marTop w:val="0"/>
      <w:marBottom w:val="0"/>
      <w:divBdr>
        <w:top w:val="none" w:sz="0" w:space="0" w:color="auto"/>
        <w:left w:val="none" w:sz="0" w:space="0" w:color="auto"/>
        <w:bottom w:val="none" w:sz="0" w:space="0" w:color="auto"/>
        <w:right w:val="none" w:sz="0" w:space="0" w:color="auto"/>
      </w:divBdr>
    </w:div>
    <w:div w:id="1323194936">
      <w:bodyDiv w:val="1"/>
      <w:marLeft w:val="0"/>
      <w:marRight w:val="0"/>
      <w:marTop w:val="0"/>
      <w:marBottom w:val="0"/>
      <w:divBdr>
        <w:top w:val="none" w:sz="0" w:space="0" w:color="auto"/>
        <w:left w:val="none" w:sz="0" w:space="0" w:color="auto"/>
        <w:bottom w:val="none" w:sz="0" w:space="0" w:color="auto"/>
        <w:right w:val="none" w:sz="0" w:space="0" w:color="auto"/>
      </w:divBdr>
    </w:div>
    <w:div w:id="1347512750">
      <w:bodyDiv w:val="1"/>
      <w:marLeft w:val="0"/>
      <w:marRight w:val="0"/>
      <w:marTop w:val="0"/>
      <w:marBottom w:val="0"/>
      <w:divBdr>
        <w:top w:val="none" w:sz="0" w:space="0" w:color="auto"/>
        <w:left w:val="none" w:sz="0" w:space="0" w:color="auto"/>
        <w:bottom w:val="none" w:sz="0" w:space="0" w:color="auto"/>
        <w:right w:val="none" w:sz="0" w:space="0" w:color="auto"/>
      </w:divBdr>
    </w:div>
    <w:div w:id="1388139325">
      <w:bodyDiv w:val="1"/>
      <w:marLeft w:val="0"/>
      <w:marRight w:val="0"/>
      <w:marTop w:val="0"/>
      <w:marBottom w:val="0"/>
      <w:divBdr>
        <w:top w:val="none" w:sz="0" w:space="0" w:color="auto"/>
        <w:left w:val="none" w:sz="0" w:space="0" w:color="auto"/>
        <w:bottom w:val="none" w:sz="0" w:space="0" w:color="auto"/>
        <w:right w:val="none" w:sz="0" w:space="0" w:color="auto"/>
      </w:divBdr>
    </w:div>
    <w:div w:id="1483429439">
      <w:bodyDiv w:val="1"/>
      <w:marLeft w:val="0"/>
      <w:marRight w:val="0"/>
      <w:marTop w:val="0"/>
      <w:marBottom w:val="0"/>
      <w:divBdr>
        <w:top w:val="none" w:sz="0" w:space="0" w:color="auto"/>
        <w:left w:val="none" w:sz="0" w:space="0" w:color="auto"/>
        <w:bottom w:val="none" w:sz="0" w:space="0" w:color="auto"/>
        <w:right w:val="none" w:sz="0" w:space="0" w:color="auto"/>
      </w:divBdr>
    </w:div>
    <w:div w:id="1487555335">
      <w:bodyDiv w:val="1"/>
      <w:marLeft w:val="0"/>
      <w:marRight w:val="0"/>
      <w:marTop w:val="0"/>
      <w:marBottom w:val="0"/>
      <w:divBdr>
        <w:top w:val="none" w:sz="0" w:space="0" w:color="auto"/>
        <w:left w:val="none" w:sz="0" w:space="0" w:color="auto"/>
        <w:bottom w:val="none" w:sz="0" w:space="0" w:color="auto"/>
        <w:right w:val="none" w:sz="0" w:space="0" w:color="auto"/>
      </w:divBdr>
    </w:div>
    <w:div w:id="1498226316">
      <w:bodyDiv w:val="1"/>
      <w:marLeft w:val="0"/>
      <w:marRight w:val="0"/>
      <w:marTop w:val="0"/>
      <w:marBottom w:val="0"/>
      <w:divBdr>
        <w:top w:val="none" w:sz="0" w:space="0" w:color="auto"/>
        <w:left w:val="none" w:sz="0" w:space="0" w:color="auto"/>
        <w:bottom w:val="none" w:sz="0" w:space="0" w:color="auto"/>
        <w:right w:val="none" w:sz="0" w:space="0" w:color="auto"/>
      </w:divBdr>
    </w:div>
    <w:div w:id="1517619457">
      <w:bodyDiv w:val="1"/>
      <w:marLeft w:val="0"/>
      <w:marRight w:val="0"/>
      <w:marTop w:val="0"/>
      <w:marBottom w:val="0"/>
      <w:divBdr>
        <w:top w:val="none" w:sz="0" w:space="0" w:color="auto"/>
        <w:left w:val="none" w:sz="0" w:space="0" w:color="auto"/>
        <w:bottom w:val="none" w:sz="0" w:space="0" w:color="auto"/>
        <w:right w:val="none" w:sz="0" w:space="0" w:color="auto"/>
      </w:divBdr>
    </w:div>
    <w:div w:id="1535460797">
      <w:bodyDiv w:val="1"/>
      <w:marLeft w:val="0"/>
      <w:marRight w:val="0"/>
      <w:marTop w:val="0"/>
      <w:marBottom w:val="0"/>
      <w:divBdr>
        <w:top w:val="none" w:sz="0" w:space="0" w:color="auto"/>
        <w:left w:val="none" w:sz="0" w:space="0" w:color="auto"/>
        <w:bottom w:val="none" w:sz="0" w:space="0" w:color="auto"/>
        <w:right w:val="none" w:sz="0" w:space="0" w:color="auto"/>
      </w:divBdr>
    </w:div>
    <w:div w:id="1548224687">
      <w:bodyDiv w:val="1"/>
      <w:marLeft w:val="0"/>
      <w:marRight w:val="0"/>
      <w:marTop w:val="0"/>
      <w:marBottom w:val="0"/>
      <w:divBdr>
        <w:top w:val="none" w:sz="0" w:space="0" w:color="auto"/>
        <w:left w:val="none" w:sz="0" w:space="0" w:color="auto"/>
        <w:bottom w:val="none" w:sz="0" w:space="0" w:color="auto"/>
        <w:right w:val="none" w:sz="0" w:space="0" w:color="auto"/>
      </w:divBdr>
    </w:div>
    <w:div w:id="1555846683">
      <w:bodyDiv w:val="1"/>
      <w:marLeft w:val="0"/>
      <w:marRight w:val="0"/>
      <w:marTop w:val="0"/>
      <w:marBottom w:val="0"/>
      <w:divBdr>
        <w:top w:val="none" w:sz="0" w:space="0" w:color="auto"/>
        <w:left w:val="none" w:sz="0" w:space="0" w:color="auto"/>
        <w:bottom w:val="none" w:sz="0" w:space="0" w:color="auto"/>
        <w:right w:val="none" w:sz="0" w:space="0" w:color="auto"/>
      </w:divBdr>
    </w:div>
    <w:div w:id="1594242893">
      <w:bodyDiv w:val="1"/>
      <w:marLeft w:val="0"/>
      <w:marRight w:val="0"/>
      <w:marTop w:val="0"/>
      <w:marBottom w:val="0"/>
      <w:divBdr>
        <w:top w:val="none" w:sz="0" w:space="0" w:color="auto"/>
        <w:left w:val="none" w:sz="0" w:space="0" w:color="auto"/>
        <w:bottom w:val="none" w:sz="0" w:space="0" w:color="auto"/>
        <w:right w:val="none" w:sz="0" w:space="0" w:color="auto"/>
      </w:divBdr>
    </w:div>
    <w:div w:id="1597206726">
      <w:bodyDiv w:val="1"/>
      <w:marLeft w:val="0"/>
      <w:marRight w:val="0"/>
      <w:marTop w:val="0"/>
      <w:marBottom w:val="0"/>
      <w:divBdr>
        <w:top w:val="none" w:sz="0" w:space="0" w:color="auto"/>
        <w:left w:val="none" w:sz="0" w:space="0" w:color="auto"/>
        <w:bottom w:val="none" w:sz="0" w:space="0" w:color="auto"/>
        <w:right w:val="none" w:sz="0" w:space="0" w:color="auto"/>
      </w:divBdr>
    </w:div>
    <w:div w:id="1675304085">
      <w:bodyDiv w:val="1"/>
      <w:marLeft w:val="0"/>
      <w:marRight w:val="0"/>
      <w:marTop w:val="0"/>
      <w:marBottom w:val="0"/>
      <w:divBdr>
        <w:top w:val="none" w:sz="0" w:space="0" w:color="auto"/>
        <w:left w:val="none" w:sz="0" w:space="0" w:color="auto"/>
        <w:bottom w:val="none" w:sz="0" w:space="0" w:color="auto"/>
        <w:right w:val="none" w:sz="0" w:space="0" w:color="auto"/>
      </w:divBdr>
    </w:div>
    <w:div w:id="1677999593">
      <w:bodyDiv w:val="1"/>
      <w:marLeft w:val="0"/>
      <w:marRight w:val="0"/>
      <w:marTop w:val="0"/>
      <w:marBottom w:val="0"/>
      <w:divBdr>
        <w:top w:val="none" w:sz="0" w:space="0" w:color="auto"/>
        <w:left w:val="none" w:sz="0" w:space="0" w:color="auto"/>
        <w:bottom w:val="none" w:sz="0" w:space="0" w:color="auto"/>
        <w:right w:val="none" w:sz="0" w:space="0" w:color="auto"/>
      </w:divBdr>
    </w:div>
    <w:div w:id="1700817472">
      <w:bodyDiv w:val="1"/>
      <w:marLeft w:val="0"/>
      <w:marRight w:val="0"/>
      <w:marTop w:val="0"/>
      <w:marBottom w:val="0"/>
      <w:divBdr>
        <w:top w:val="none" w:sz="0" w:space="0" w:color="auto"/>
        <w:left w:val="none" w:sz="0" w:space="0" w:color="auto"/>
        <w:bottom w:val="none" w:sz="0" w:space="0" w:color="auto"/>
        <w:right w:val="none" w:sz="0" w:space="0" w:color="auto"/>
      </w:divBdr>
    </w:div>
    <w:div w:id="1701316260">
      <w:bodyDiv w:val="1"/>
      <w:marLeft w:val="0"/>
      <w:marRight w:val="0"/>
      <w:marTop w:val="0"/>
      <w:marBottom w:val="0"/>
      <w:divBdr>
        <w:top w:val="none" w:sz="0" w:space="0" w:color="auto"/>
        <w:left w:val="none" w:sz="0" w:space="0" w:color="auto"/>
        <w:bottom w:val="none" w:sz="0" w:space="0" w:color="auto"/>
        <w:right w:val="none" w:sz="0" w:space="0" w:color="auto"/>
      </w:divBdr>
    </w:div>
    <w:div w:id="1730765002">
      <w:bodyDiv w:val="1"/>
      <w:marLeft w:val="0"/>
      <w:marRight w:val="0"/>
      <w:marTop w:val="0"/>
      <w:marBottom w:val="0"/>
      <w:divBdr>
        <w:top w:val="none" w:sz="0" w:space="0" w:color="auto"/>
        <w:left w:val="none" w:sz="0" w:space="0" w:color="auto"/>
        <w:bottom w:val="none" w:sz="0" w:space="0" w:color="auto"/>
        <w:right w:val="none" w:sz="0" w:space="0" w:color="auto"/>
      </w:divBdr>
    </w:div>
    <w:div w:id="1777942135">
      <w:bodyDiv w:val="1"/>
      <w:marLeft w:val="0"/>
      <w:marRight w:val="0"/>
      <w:marTop w:val="0"/>
      <w:marBottom w:val="0"/>
      <w:divBdr>
        <w:top w:val="none" w:sz="0" w:space="0" w:color="auto"/>
        <w:left w:val="none" w:sz="0" w:space="0" w:color="auto"/>
        <w:bottom w:val="none" w:sz="0" w:space="0" w:color="auto"/>
        <w:right w:val="none" w:sz="0" w:space="0" w:color="auto"/>
      </w:divBdr>
    </w:div>
    <w:div w:id="1816607518">
      <w:bodyDiv w:val="1"/>
      <w:marLeft w:val="0"/>
      <w:marRight w:val="0"/>
      <w:marTop w:val="0"/>
      <w:marBottom w:val="0"/>
      <w:divBdr>
        <w:top w:val="none" w:sz="0" w:space="0" w:color="auto"/>
        <w:left w:val="none" w:sz="0" w:space="0" w:color="auto"/>
        <w:bottom w:val="none" w:sz="0" w:space="0" w:color="auto"/>
        <w:right w:val="none" w:sz="0" w:space="0" w:color="auto"/>
      </w:divBdr>
    </w:div>
    <w:div w:id="1822697657">
      <w:bodyDiv w:val="1"/>
      <w:marLeft w:val="0"/>
      <w:marRight w:val="0"/>
      <w:marTop w:val="0"/>
      <w:marBottom w:val="0"/>
      <w:divBdr>
        <w:top w:val="none" w:sz="0" w:space="0" w:color="auto"/>
        <w:left w:val="none" w:sz="0" w:space="0" w:color="auto"/>
        <w:bottom w:val="none" w:sz="0" w:space="0" w:color="auto"/>
        <w:right w:val="none" w:sz="0" w:space="0" w:color="auto"/>
      </w:divBdr>
    </w:div>
    <w:div w:id="1863471752">
      <w:bodyDiv w:val="1"/>
      <w:marLeft w:val="0"/>
      <w:marRight w:val="0"/>
      <w:marTop w:val="0"/>
      <w:marBottom w:val="0"/>
      <w:divBdr>
        <w:top w:val="none" w:sz="0" w:space="0" w:color="auto"/>
        <w:left w:val="none" w:sz="0" w:space="0" w:color="auto"/>
        <w:bottom w:val="none" w:sz="0" w:space="0" w:color="auto"/>
        <w:right w:val="none" w:sz="0" w:space="0" w:color="auto"/>
      </w:divBdr>
    </w:div>
    <w:div w:id="1881936822">
      <w:bodyDiv w:val="1"/>
      <w:marLeft w:val="0"/>
      <w:marRight w:val="0"/>
      <w:marTop w:val="0"/>
      <w:marBottom w:val="0"/>
      <w:divBdr>
        <w:top w:val="none" w:sz="0" w:space="0" w:color="auto"/>
        <w:left w:val="none" w:sz="0" w:space="0" w:color="auto"/>
        <w:bottom w:val="none" w:sz="0" w:space="0" w:color="auto"/>
        <w:right w:val="none" w:sz="0" w:space="0" w:color="auto"/>
      </w:divBdr>
    </w:div>
    <w:div w:id="1888294172">
      <w:bodyDiv w:val="1"/>
      <w:marLeft w:val="0"/>
      <w:marRight w:val="0"/>
      <w:marTop w:val="0"/>
      <w:marBottom w:val="0"/>
      <w:divBdr>
        <w:top w:val="none" w:sz="0" w:space="0" w:color="auto"/>
        <w:left w:val="none" w:sz="0" w:space="0" w:color="auto"/>
        <w:bottom w:val="none" w:sz="0" w:space="0" w:color="auto"/>
        <w:right w:val="none" w:sz="0" w:space="0" w:color="auto"/>
      </w:divBdr>
    </w:div>
    <w:div w:id="1903983226">
      <w:bodyDiv w:val="1"/>
      <w:marLeft w:val="0"/>
      <w:marRight w:val="0"/>
      <w:marTop w:val="0"/>
      <w:marBottom w:val="0"/>
      <w:divBdr>
        <w:top w:val="none" w:sz="0" w:space="0" w:color="auto"/>
        <w:left w:val="none" w:sz="0" w:space="0" w:color="auto"/>
        <w:bottom w:val="none" w:sz="0" w:space="0" w:color="auto"/>
        <w:right w:val="none" w:sz="0" w:space="0" w:color="auto"/>
      </w:divBdr>
    </w:div>
    <w:div w:id="1931353662">
      <w:bodyDiv w:val="1"/>
      <w:marLeft w:val="0"/>
      <w:marRight w:val="0"/>
      <w:marTop w:val="0"/>
      <w:marBottom w:val="0"/>
      <w:divBdr>
        <w:top w:val="none" w:sz="0" w:space="0" w:color="auto"/>
        <w:left w:val="none" w:sz="0" w:space="0" w:color="auto"/>
        <w:bottom w:val="none" w:sz="0" w:space="0" w:color="auto"/>
        <w:right w:val="none" w:sz="0" w:space="0" w:color="auto"/>
      </w:divBdr>
    </w:div>
    <w:div w:id="1933857833">
      <w:bodyDiv w:val="1"/>
      <w:marLeft w:val="0"/>
      <w:marRight w:val="0"/>
      <w:marTop w:val="0"/>
      <w:marBottom w:val="0"/>
      <w:divBdr>
        <w:top w:val="none" w:sz="0" w:space="0" w:color="auto"/>
        <w:left w:val="none" w:sz="0" w:space="0" w:color="auto"/>
        <w:bottom w:val="none" w:sz="0" w:space="0" w:color="auto"/>
        <w:right w:val="none" w:sz="0" w:space="0" w:color="auto"/>
      </w:divBdr>
    </w:div>
    <w:div w:id="1946496993">
      <w:bodyDiv w:val="1"/>
      <w:marLeft w:val="0"/>
      <w:marRight w:val="0"/>
      <w:marTop w:val="0"/>
      <w:marBottom w:val="0"/>
      <w:divBdr>
        <w:top w:val="none" w:sz="0" w:space="0" w:color="auto"/>
        <w:left w:val="none" w:sz="0" w:space="0" w:color="auto"/>
        <w:bottom w:val="none" w:sz="0" w:space="0" w:color="auto"/>
        <w:right w:val="none" w:sz="0" w:space="0" w:color="auto"/>
      </w:divBdr>
    </w:div>
    <w:div w:id="1949462059">
      <w:bodyDiv w:val="1"/>
      <w:marLeft w:val="0"/>
      <w:marRight w:val="0"/>
      <w:marTop w:val="0"/>
      <w:marBottom w:val="0"/>
      <w:divBdr>
        <w:top w:val="none" w:sz="0" w:space="0" w:color="auto"/>
        <w:left w:val="none" w:sz="0" w:space="0" w:color="auto"/>
        <w:bottom w:val="none" w:sz="0" w:space="0" w:color="auto"/>
        <w:right w:val="none" w:sz="0" w:space="0" w:color="auto"/>
      </w:divBdr>
    </w:div>
    <w:div w:id="1971401695">
      <w:bodyDiv w:val="1"/>
      <w:marLeft w:val="0"/>
      <w:marRight w:val="0"/>
      <w:marTop w:val="0"/>
      <w:marBottom w:val="0"/>
      <w:divBdr>
        <w:top w:val="none" w:sz="0" w:space="0" w:color="auto"/>
        <w:left w:val="none" w:sz="0" w:space="0" w:color="auto"/>
        <w:bottom w:val="none" w:sz="0" w:space="0" w:color="auto"/>
        <w:right w:val="none" w:sz="0" w:space="0" w:color="auto"/>
      </w:divBdr>
    </w:div>
    <w:div w:id="1974476982">
      <w:bodyDiv w:val="1"/>
      <w:marLeft w:val="0"/>
      <w:marRight w:val="0"/>
      <w:marTop w:val="0"/>
      <w:marBottom w:val="0"/>
      <w:divBdr>
        <w:top w:val="none" w:sz="0" w:space="0" w:color="auto"/>
        <w:left w:val="none" w:sz="0" w:space="0" w:color="auto"/>
        <w:bottom w:val="none" w:sz="0" w:space="0" w:color="auto"/>
        <w:right w:val="none" w:sz="0" w:space="0" w:color="auto"/>
      </w:divBdr>
    </w:div>
    <w:div w:id="2013338137">
      <w:bodyDiv w:val="1"/>
      <w:marLeft w:val="0"/>
      <w:marRight w:val="0"/>
      <w:marTop w:val="0"/>
      <w:marBottom w:val="0"/>
      <w:divBdr>
        <w:top w:val="none" w:sz="0" w:space="0" w:color="auto"/>
        <w:left w:val="none" w:sz="0" w:space="0" w:color="auto"/>
        <w:bottom w:val="none" w:sz="0" w:space="0" w:color="auto"/>
        <w:right w:val="none" w:sz="0" w:space="0" w:color="auto"/>
      </w:divBdr>
    </w:div>
    <w:div w:id="2019845737">
      <w:bodyDiv w:val="1"/>
      <w:marLeft w:val="0"/>
      <w:marRight w:val="0"/>
      <w:marTop w:val="0"/>
      <w:marBottom w:val="0"/>
      <w:divBdr>
        <w:top w:val="none" w:sz="0" w:space="0" w:color="auto"/>
        <w:left w:val="none" w:sz="0" w:space="0" w:color="auto"/>
        <w:bottom w:val="none" w:sz="0" w:space="0" w:color="auto"/>
        <w:right w:val="none" w:sz="0" w:space="0" w:color="auto"/>
      </w:divBdr>
    </w:div>
    <w:div w:id="2065332346">
      <w:bodyDiv w:val="1"/>
      <w:marLeft w:val="0"/>
      <w:marRight w:val="0"/>
      <w:marTop w:val="0"/>
      <w:marBottom w:val="0"/>
      <w:divBdr>
        <w:top w:val="none" w:sz="0" w:space="0" w:color="auto"/>
        <w:left w:val="none" w:sz="0" w:space="0" w:color="auto"/>
        <w:bottom w:val="none" w:sz="0" w:space="0" w:color="auto"/>
        <w:right w:val="none" w:sz="0" w:space="0" w:color="auto"/>
      </w:divBdr>
    </w:div>
    <w:div w:id="2075279451">
      <w:bodyDiv w:val="1"/>
      <w:marLeft w:val="0"/>
      <w:marRight w:val="0"/>
      <w:marTop w:val="0"/>
      <w:marBottom w:val="0"/>
      <w:divBdr>
        <w:top w:val="none" w:sz="0" w:space="0" w:color="auto"/>
        <w:left w:val="none" w:sz="0" w:space="0" w:color="auto"/>
        <w:bottom w:val="none" w:sz="0" w:space="0" w:color="auto"/>
        <w:right w:val="none" w:sz="0" w:space="0" w:color="auto"/>
      </w:divBdr>
    </w:div>
    <w:div w:id="2086343630">
      <w:bodyDiv w:val="1"/>
      <w:marLeft w:val="0"/>
      <w:marRight w:val="0"/>
      <w:marTop w:val="0"/>
      <w:marBottom w:val="0"/>
      <w:divBdr>
        <w:top w:val="none" w:sz="0" w:space="0" w:color="auto"/>
        <w:left w:val="none" w:sz="0" w:space="0" w:color="auto"/>
        <w:bottom w:val="none" w:sz="0" w:space="0" w:color="auto"/>
        <w:right w:val="none" w:sz="0" w:space="0" w:color="auto"/>
      </w:divBdr>
    </w:div>
    <w:div w:id="2129397282">
      <w:bodyDiv w:val="1"/>
      <w:marLeft w:val="0"/>
      <w:marRight w:val="0"/>
      <w:marTop w:val="0"/>
      <w:marBottom w:val="0"/>
      <w:divBdr>
        <w:top w:val="none" w:sz="0" w:space="0" w:color="auto"/>
        <w:left w:val="none" w:sz="0" w:space="0" w:color="auto"/>
        <w:bottom w:val="none" w:sz="0" w:space="0" w:color="auto"/>
        <w:right w:val="none" w:sz="0" w:space="0" w:color="auto"/>
      </w:divBdr>
    </w:div>
    <w:div w:id="21408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BFDC-39DF-4115-8232-80BD13BD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2327</Words>
  <Characters>12799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 Eloy AB</dc:creator>
  <cp:lastModifiedBy>Servidor</cp:lastModifiedBy>
  <cp:revision>4</cp:revision>
  <cp:lastPrinted>2019-02-27T17:44:00Z</cp:lastPrinted>
  <dcterms:created xsi:type="dcterms:W3CDTF">2018-11-01T18:31:00Z</dcterms:created>
  <dcterms:modified xsi:type="dcterms:W3CDTF">2019-03-04T17:52:00Z</dcterms:modified>
</cp:coreProperties>
</file>